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31" w:rsidRDefault="00734131" w:rsidP="0073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0C7071">
        <w:rPr>
          <w:rFonts w:ascii="Times New Roman" w:eastAsia="Times New Roman" w:hAnsi="Times New Roman" w:cs="Times New Roman"/>
          <w:b/>
          <w:sz w:val="24"/>
          <w:szCs w:val="24"/>
        </w:rPr>
        <w:t xml:space="preserve">/шаблон/ за упражнение 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bookmarkEnd w:id="0"/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DCF Valuation Model</w:t>
      </w:r>
    </w:p>
    <w:p w:rsidR="000C7071" w:rsidRPr="00734131" w:rsidRDefault="000C7071" w:rsidP="0073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131" w:rsidRPr="00734131" w:rsidRDefault="00734131" w:rsidP="0073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Известни са следните показатели за предприятието “Метал-инженеринг” АД по отчетни данни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Табл. 1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Табл. 1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134"/>
        <w:gridCol w:w="1134"/>
        <w:gridCol w:w="1134"/>
      </w:tblGrid>
      <w:tr w:rsidR="007E5B25" w:rsidRPr="007E5B25" w:rsidTr="00377D4A">
        <w:tc>
          <w:tcPr>
            <w:tcW w:w="5954" w:type="dxa"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хил. лв.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E5B25" w:rsidRPr="007E5B25" w:rsidTr="00377D4A">
        <w:tc>
          <w:tcPr>
            <w:tcW w:w="5954" w:type="dxa"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Приходи от дейността (от продажби)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 SR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21576,50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23864,46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24465,50</w:t>
            </w:r>
          </w:p>
        </w:tc>
      </w:tr>
      <w:tr w:rsidR="007E5B25" w:rsidRPr="007E5B25" w:rsidTr="00377D4A">
        <w:tc>
          <w:tcPr>
            <w:tcW w:w="5954" w:type="dxa"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Разходи за дейността (пълна себ. на продажбите)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 CS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18165,25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19637,51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19804,87</w:t>
            </w:r>
          </w:p>
        </w:tc>
      </w:tr>
      <w:tr w:rsidR="007E5B25" w:rsidRPr="007E5B25" w:rsidTr="00377D4A">
        <w:tc>
          <w:tcPr>
            <w:tcW w:w="5954" w:type="dxa"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в т.ч. амортизации – DA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409,95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459,57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499,82</w:t>
            </w:r>
          </w:p>
        </w:tc>
      </w:tr>
      <w:tr w:rsidR="007E5B25" w:rsidRPr="007E5B25" w:rsidTr="00377D4A">
        <w:tc>
          <w:tcPr>
            <w:tcW w:w="5954" w:type="dxa"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Оперативна печалба – EBIT (т.1 – т.2)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3411,25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4226,95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4660,63</w:t>
            </w:r>
          </w:p>
        </w:tc>
      </w:tr>
      <w:tr w:rsidR="007E5B25" w:rsidRPr="007E5B25" w:rsidTr="00377D4A">
        <w:tc>
          <w:tcPr>
            <w:tcW w:w="5954" w:type="dxa"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Оперативни дълготрайни активи по балансова стойност – OFA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5514,95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5688,68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6406,08</w:t>
            </w:r>
          </w:p>
        </w:tc>
      </w:tr>
      <w:tr w:rsidR="007E5B25" w:rsidRPr="007E5B25" w:rsidTr="00377D4A">
        <w:tc>
          <w:tcPr>
            <w:tcW w:w="5954" w:type="dxa"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Нетен оборотен капитал – W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10755,88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10728,01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11300,98</w:t>
            </w:r>
          </w:p>
        </w:tc>
      </w:tr>
    </w:tbl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Да се определи стойността на “Метал-инженеринг” АД и справедлив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ата цена на акция към 31.12.201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г. по метода на дисконтираните парични потоци, при следните допълнителни параметри:</w:t>
      </w:r>
    </w:p>
    <w:p w:rsidR="007E5B25" w:rsidRPr="007E5B25" w:rsidRDefault="007E5B25" w:rsidP="007E5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Стойност на неоперативните активи (вкл. финансови активи)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предприятието към 31.12.201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г. – 6,885 млн. лв.;</w:t>
      </w:r>
    </w:p>
    <w:p w:rsidR="007E5B25" w:rsidRPr="007E5B25" w:rsidRDefault="007E5B25" w:rsidP="007E5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Стойност на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лихвоносния дълг към 31.12.201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г. – 9,672 млн. лв.;</w:t>
      </w:r>
    </w:p>
    <w:p w:rsidR="007E5B25" w:rsidRPr="007E5B25" w:rsidRDefault="007E5B25" w:rsidP="007E5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Брой емитирани обикновени акции – 10 млн. с номинал 1 лев;</w:t>
      </w:r>
    </w:p>
    <w:p w:rsidR="007E5B25" w:rsidRPr="007E5B25" w:rsidRDefault="007E5B25" w:rsidP="007E5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Среднопретеглена цена на капитала (WACC) – 14%;</w:t>
      </w:r>
    </w:p>
    <w:p w:rsidR="007E5B25" w:rsidRPr="007E5B25" w:rsidRDefault="007E5B25" w:rsidP="007E5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Продължителност на 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прогнозния период – 5г. (до 201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г.);</w:t>
      </w:r>
    </w:p>
    <w:p w:rsidR="007E5B25" w:rsidRPr="007E5B25" w:rsidRDefault="007E5B25" w:rsidP="007E5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Подход за определяне на продължаващата стойно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ст – 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Stable Growth Model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Предвидено е, че компанията ще поддържа устойчив темп на растеж, както през прогнозния период, така и през следпрогнозния период. Не се предвиждат промени в степента на ефективност на основната дейност. 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Решение:</w:t>
      </w:r>
    </w:p>
    <w:p w:rsidR="00734131" w:rsidRPr="007E5B25" w:rsidRDefault="00734131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Първо: За нуждите на оценката е необходимо да се изчислят стойностите на следните показатели: </w:t>
      </w:r>
    </w:p>
    <w:p w:rsidR="007E5B25" w:rsidRPr="007E5B25" w:rsidRDefault="007E5B25" w:rsidP="007E5B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Темп на ръст на приходите от дейността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 Y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SR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(SR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: SR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n-1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E5B25" w:rsidRPr="007E5B25" w:rsidRDefault="007E5B25" w:rsidP="007E5B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Рентабилност на продажбите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 ROS (т.4 : т.1);</w:t>
      </w:r>
    </w:p>
    <w:p w:rsidR="007E5B25" w:rsidRPr="007E5B25" w:rsidRDefault="007E5B25" w:rsidP="007E5B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Дял на годишните амортизации в приходите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т. 3 : т.1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E5B25" w:rsidRPr="007E5B25" w:rsidRDefault="007E5B25" w:rsidP="007E5B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Инвестиционна поглъщаемост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(т.5 : т.1)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E5B25" w:rsidRPr="007E5B25" w:rsidRDefault="007E5B25" w:rsidP="007E5B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Дял на нетния оборотен капитал в приходите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(т.6 : т.1)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Табл. 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134"/>
        <w:gridCol w:w="1134"/>
        <w:gridCol w:w="992"/>
      </w:tblGrid>
      <w:tr w:rsidR="007E5B25" w:rsidRPr="007E5B25" w:rsidTr="00377D4A">
        <w:tc>
          <w:tcPr>
            <w:tcW w:w="5812" w:type="dxa"/>
          </w:tcPr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E5B25" w:rsidRPr="007E5B25" w:rsidTr="00377D4A">
        <w:tc>
          <w:tcPr>
            <w:tcW w:w="5812" w:type="dxa"/>
          </w:tcPr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Темп на ръст на приходите от дейността – Y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SR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(SR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n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SR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n-1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5B25" w:rsidRPr="007E5B25" w:rsidTr="00377D4A">
        <w:tc>
          <w:tcPr>
            <w:tcW w:w="5812" w:type="dxa"/>
          </w:tcPr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Оперативен марджин – ROS (т.4 : т.1)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5B25" w:rsidRPr="007E5B25" w:rsidTr="00377D4A">
        <w:tc>
          <w:tcPr>
            <w:tcW w:w="5812" w:type="dxa"/>
          </w:tcPr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Дял на годишните амортизации в приходите (т.3 : т.1)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5B25" w:rsidRPr="007E5B25" w:rsidTr="00377D4A">
        <w:tc>
          <w:tcPr>
            <w:tcW w:w="5812" w:type="dxa"/>
          </w:tcPr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Инвестиционна поглъщаемост (т.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т.1)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5B25" w:rsidRPr="007E5B25" w:rsidTr="00377D4A">
        <w:tc>
          <w:tcPr>
            <w:tcW w:w="5812" w:type="dxa"/>
          </w:tcPr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5B25">
              <w:rPr>
                <w:rFonts w:ascii="Times New Roman" w:eastAsia="Calibri" w:hAnsi="Times New Roman" w:cs="Times New Roman"/>
                <w:b/>
              </w:rPr>
              <w:t xml:space="preserve"> Дял на W в приходите (т.</w:t>
            </w:r>
            <w:r w:rsidRPr="007E5B25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  <w:r w:rsidRPr="007E5B25">
              <w:rPr>
                <w:rFonts w:ascii="Times New Roman" w:eastAsia="Calibri" w:hAnsi="Times New Roman" w:cs="Times New Roman"/>
                <w:b/>
              </w:rPr>
              <w:t xml:space="preserve"> : т.1)</w:t>
            </w: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Второ: Определяме средногодишната стойн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ост на показателите от табл. 2 за периода 201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г. – 201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г. Темпът на ръст на приходите от дейността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7E5B25">
        <w:rPr>
          <w:rFonts w:ascii="Times New Roman" w:eastAsia="Calibri" w:hAnsi="Times New Roman" w:cs="Times New Roman"/>
          <w:b/>
          <w:sz w:val="20"/>
          <w:szCs w:val="20"/>
        </w:rPr>
        <w:t>Y</w:t>
      </w:r>
      <w:r w:rsidRPr="007E5B25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SR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осредняваме като средна геометрична величина. Останалите показатели – като средна аритметична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абл.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).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Табл.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417"/>
      </w:tblGrid>
      <w:tr w:rsidR="007E5B25" w:rsidRPr="007E5B25" w:rsidTr="00377D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стойност</w:t>
            </w:r>
          </w:p>
        </w:tc>
      </w:tr>
      <w:tr w:rsidR="007E5B25" w:rsidRPr="007E5B25" w:rsidTr="007E5B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Среден темп на ръст на приходите от дейността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Оперативен марджин средно за 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Дял на годишните амортизации в приходите средно за 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Инвестиционна поглъщаемост средно за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Дял на W в приходите средно за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Трето: Определяме нетната оперативна печалба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(NOPLAT)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и брутния паричен поток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(GCF)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за всяка година от прогнозния период и за първата година от следпрогнозния период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табл.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).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Табл.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1620"/>
        <w:gridCol w:w="1620"/>
        <w:gridCol w:w="1620"/>
        <w:gridCol w:w="1620"/>
      </w:tblGrid>
      <w:tr w:rsidR="007E5B25" w:rsidRPr="007E5B25" w:rsidTr="00377D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Година</w:t>
            </w:r>
          </w:p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Приходи от дейността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33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19pt" o:ole="">
                  <v:imagedata r:id="rId8" o:title=""/>
                </v:shape>
                <o:OLEObject Type="Embed" ProgID="Equation.DSMT4" ShapeID="_x0000_i1025" DrawAspect="Content" ObjectID="_1461413320" r:id="rId9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Оперативна печалба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EBIT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200" w:dyaOrig="375">
                <v:shape id="_x0000_i1026" type="#_x0000_t75" style="width:60pt;height:19pt" o:ole="">
                  <v:imagedata r:id="rId10" o:title=""/>
                </v:shape>
                <o:OLEObject Type="Embed" ProgID="Equation.DSMT4" ShapeID="_x0000_i1026" DrawAspect="Content" ObjectID="_1461413321" r:id="rId11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Данък върху EBIT –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position w:val="-12"/>
                <w:sz w:val="20"/>
                <w:szCs w:val="20"/>
              </w:rPr>
              <w:object w:dxaOrig="1140" w:dyaOrig="360">
                <v:shape id="_x0000_i1027" type="#_x0000_t75" style="width:57pt;height:18pt" o:ole="">
                  <v:imagedata r:id="rId12" o:title=""/>
                </v:shape>
                <o:OLEObject Type="Embed" ProgID="Equation.DSMT4" ShapeID="_x0000_i1027" DrawAspect="Content" ObjectID="_1461413322" r:id="rId13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Нетна оперативна печалба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NOPLAT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к.3 – к.4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Годишни амортизации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320" w:dyaOrig="375">
                <v:shape id="_x0000_i1028" type="#_x0000_t75" style="width:65.5pt;height:19pt" o:ole="">
                  <v:imagedata r:id="rId14" o:title=""/>
                </v:shape>
                <o:OLEObject Type="Embed" ProgID="Equation.DSMT4" ShapeID="_x0000_i1028" DrawAspect="Content" ObjectID="_1461413323" r:id="rId15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Брутен паричен поток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GCF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к.5 + к.6</w:t>
            </w:r>
          </w:p>
        </w:tc>
      </w:tr>
      <w:tr w:rsidR="007E5B25" w:rsidRPr="007E5B25" w:rsidTr="00377D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Четвърто: Определяме размера на допълнителните брутни инвестиции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(ΔGI) – 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>табл.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5: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Табл.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1620"/>
        <w:gridCol w:w="1620"/>
        <w:gridCol w:w="1620"/>
        <w:gridCol w:w="1620"/>
      </w:tblGrid>
      <w:tr w:rsidR="007E5B25" w:rsidRPr="007E5B25" w:rsidTr="00377D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Година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Приходи от дейността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335" w:dyaOrig="375">
                <v:shape id="_x0000_i1029" type="#_x0000_t75" style="width:67pt;height:19pt" o:ole="">
                  <v:imagedata r:id="rId16" o:title=""/>
                </v:shape>
                <o:OLEObject Type="Embed" ProgID="Equation.DSMT4" ShapeID="_x0000_i1029" DrawAspect="Content" ObjectID="_1461413324" r:id="rId17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Оперативни дълготрайни активи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OFA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230" w:dyaOrig="375">
                <v:shape id="_x0000_i1030" type="#_x0000_t75" style="width:61.5pt;height:19pt" o:ole="">
                  <v:imagedata r:id="rId18" o:title=""/>
                </v:shape>
                <o:OLEObject Type="Embed" ProgID="Equation.DSMT4" ShapeID="_x0000_i1030" DrawAspect="Content" ObjectID="_1461413325" r:id="rId19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на оперативните дълготрайни активи през годината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(ΔOFA)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position w:val="-32"/>
                <w:sz w:val="20"/>
                <w:szCs w:val="20"/>
              </w:rPr>
              <w:object w:dxaOrig="1600" w:dyaOrig="760">
                <v:shape id="_x0000_i1031" type="#_x0000_t75" style="width:80pt;height:38pt" o:ole="">
                  <v:imagedata r:id="rId20" o:title=""/>
                </v:shape>
                <o:OLEObject Type="Embed" ProgID="Equation.DSMT4" ShapeID="_x0000_i1031" DrawAspect="Content" ObjectID="_1461413326" r:id="rId21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Нетен оборотен капитал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position w:val="-12"/>
                <w:sz w:val="20"/>
                <w:szCs w:val="20"/>
              </w:rPr>
              <w:object w:dxaOrig="1219" w:dyaOrig="360">
                <v:shape id="_x0000_i1032" type="#_x0000_t75" style="width:60.5pt;height:18pt" o:ole="">
                  <v:imagedata r:id="rId22" o:title=""/>
                </v:shape>
                <o:OLEObject Type="Embed" ProgID="Equation.DSMT4" ShapeID="_x0000_i1032" DrawAspect="Content" ObjectID="_1461413327" r:id="rId23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на нетния оборотен капитал през годината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</w:t>
            </w: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position w:val="-12"/>
                <w:sz w:val="20"/>
                <w:szCs w:val="20"/>
              </w:rPr>
              <w:object w:dxaOrig="859" w:dyaOrig="360">
                <v:shape id="_x0000_i1033" type="#_x0000_t75" style="width:43pt;height:18pt" o:ole="">
                  <v:imagedata r:id="rId24" o:title=""/>
                </v:shape>
                <o:OLEObject Type="Embed" ProgID="Equation.DSMT4" ShapeID="_x0000_i1033" DrawAspect="Content" ObjectID="_1461413328" r:id="rId25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Допълнителни брутни инвестиции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(ΔGI)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(к.4 + к.6)</w:t>
            </w:r>
          </w:p>
        </w:tc>
      </w:tr>
      <w:tr w:rsidR="007E5B25" w:rsidRPr="007E5B25" w:rsidTr="00377D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5B25" w:rsidRPr="007E5B25" w:rsidTr="007E5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5" w:rsidRPr="007E5B25" w:rsidRDefault="007E5B25" w:rsidP="007E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Пето: Определяме свободните парични потоци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(FCF)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табл.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Табл.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tbl>
      <w:tblPr>
        <w:tblpPr w:leftFromText="141" w:rightFromText="141" w:vertAnchor="text" w:tblpY="1"/>
        <w:tblOverlap w:val="never"/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278"/>
        <w:gridCol w:w="1276"/>
        <w:gridCol w:w="1276"/>
      </w:tblGrid>
      <w:tr w:rsidR="007E5B25" w:rsidRPr="007E5B25" w:rsidTr="00377D4A">
        <w:tc>
          <w:tcPr>
            <w:tcW w:w="990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Брутен паричен поток 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GCF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Допълните-лни брутни инвестиции </w:t>
            </w:r>
          </w:p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Δ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GI)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Свободен паричен поток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FCF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к.2 – к.3</w:t>
            </w:r>
          </w:p>
        </w:tc>
      </w:tr>
      <w:tr w:rsidR="007E5B25" w:rsidRPr="007E5B25" w:rsidTr="00377D4A">
        <w:tc>
          <w:tcPr>
            <w:tcW w:w="990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E5B25" w:rsidRPr="007E5B25" w:rsidTr="00377D4A">
        <w:tc>
          <w:tcPr>
            <w:tcW w:w="990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bookmarkStart w:id="1" w:name="_Hlk322844955"/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0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0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0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0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0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bookmarkEnd w:id="1"/>
    </w:tbl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5B25" w:rsidRPr="00734131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5B25" w:rsidRPr="00734131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131" w:rsidRDefault="00734131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131" w:rsidRDefault="00734131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131" w:rsidRDefault="00734131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131" w:rsidRDefault="00734131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131" w:rsidRDefault="00734131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131" w:rsidRDefault="00734131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131" w:rsidRDefault="00734131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Шесто: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Определя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сумата от дисконтираните свободните парични потоци за прогнозния период</w:t>
      </w: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табл.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7: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Табл.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tblpY="1"/>
        <w:tblOverlap w:val="never"/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418"/>
        <w:gridCol w:w="1417"/>
      </w:tblGrid>
      <w:tr w:rsidR="007E5B25" w:rsidRPr="007E5B25" w:rsidTr="00377D4A">
        <w:tc>
          <w:tcPr>
            <w:tcW w:w="993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Свободен паричен поток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FCF</w:t>
            </w: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Дисконт фактор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(DF)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Дисконти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 паричен поток</w:t>
            </w: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(DCF)</w:t>
            </w:r>
          </w:p>
        </w:tc>
      </w:tr>
      <w:tr w:rsidR="007E5B25" w:rsidRPr="007E5B25" w:rsidTr="00377D4A">
        <w:tc>
          <w:tcPr>
            <w:tcW w:w="993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7E5B25" w:rsidRPr="007E5B25" w:rsidTr="00377D4A">
        <w:tc>
          <w:tcPr>
            <w:tcW w:w="993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0,877193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3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0,769467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3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0,674971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3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0,592080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3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Pr="007341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E5B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0,519369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E5B25" w:rsidRPr="007E5B25" w:rsidTr="00377D4A">
        <w:tc>
          <w:tcPr>
            <w:tcW w:w="993" w:type="dxa"/>
          </w:tcPr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Сума:</w:t>
            </w:r>
          </w:p>
        </w:tc>
        <w:tc>
          <w:tcPr>
            <w:tcW w:w="1417" w:type="dxa"/>
            <w:vAlign w:val="bottom"/>
          </w:tcPr>
          <w:p w:rsidR="007E5B25" w:rsidRPr="007E5B25" w:rsidRDefault="007E5B25" w:rsidP="007E5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B25" w:rsidRPr="007E5B25" w:rsidRDefault="007E5B25" w:rsidP="007E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E5B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E5B25" w:rsidRPr="007E5B25" w:rsidRDefault="007E5B25" w:rsidP="007E5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Седмо: Определяме продължаващата стойност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(CV)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модела на стабилния растеж (Stable Growth Model)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5B25" w:rsidRPr="007E5B25" w:rsidRDefault="0093305A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position w:val="-28"/>
          <w:sz w:val="24"/>
          <w:szCs w:val="24"/>
          <w:lang w:val="en-US"/>
        </w:rPr>
        <w:object w:dxaOrig="3480" w:dyaOrig="660">
          <v:shape id="_x0000_i1034" type="#_x0000_t75" style="width:174pt;height:32pt" o:ole="">
            <v:imagedata r:id="rId26" o:title=""/>
          </v:shape>
          <o:OLEObject Type="Embed" ProgID="Equation.DSMT4" ShapeID="_x0000_i1034" DrawAspect="Content" ObjectID="_1461413329" r:id="rId27"/>
        </w:objec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</w:rPr>
      </w:pPr>
      <w:r w:rsidRPr="007E5B25">
        <w:rPr>
          <w:rFonts w:ascii="Times New Roman" w:eastAsia="Calibri" w:hAnsi="Times New Roman" w:cs="Times New Roman"/>
          <w:b/>
        </w:rPr>
        <w:t xml:space="preserve">Темпът на ръст на NOPLAT и EBIT съвпада с темпа на ръст на приходите от дейността, тъй като при разчетите са заложени еднакъв оперативен марджин и еднаква данъчна ставка за целия прогнозен период. 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Calibri" w:hAnsi="Times New Roman" w:cs="Times New Roman"/>
          <w:b/>
          <w:position w:val="-12"/>
        </w:rPr>
        <w:object w:dxaOrig="2840" w:dyaOrig="360">
          <v:shape id="_x0000_i1035" type="#_x0000_t75" style="width:141pt;height:19pt" o:ole="">
            <v:imagedata r:id="rId28" o:title=""/>
          </v:shape>
          <o:OLEObject Type="Embed" ProgID="Equation.DSMT4" ShapeID="_x0000_i1035" DrawAspect="Content" ObjectID="_1461413330" r:id="rId29"/>
        </w:object>
      </w:r>
      <w:r w:rsidRPr="007E5B25">
        <w:rPr>
          <w:rFonts w:ascii="Times New Roman" w:eastAsia="Calibri" w:hAnsi="Times New Roman" w:cs="Times New Roman"/>
          <w:b/>
        </w:rPr>
        <w:t xml:space="preserve">       </w:t>
      </w:r>
      <w:r w:rsidRPr="007E5B25">
        <w:rPr>
          <w:rFonts w:ascii="Times New Roman" w:eastAsia="Calibri" w:hAnsi="Times New Roman" w:cs="Times New Roman"/>
          <w:b/>
          <w:position w:val="-14"/>
        </w:rPr>
        <w:object w:dxaOrig="5260" w:dyaOrig="400">
          <v:shape id="_x0000_i1036" type="#_x0000_t75" style="width:261pt;height:21pt" o:ole="">
            <v:imagedata r:id="rId30" o:title=""/>
          </v:shape>
          <o:OLEObject Type="Embed" ProgID="Equation.DSMT4" ShapeID="_x0000_i1036" DrawAspect="Content" ObjectID="_1461413331" r:id="rId31"/>
        </w:objec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Така установената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продължаваща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стойност (CV) изразява онази част от стойността на компанията, която се формира от оч</w:t>
      </w:r>
      <w:r w:rsidR="0093305A"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акваните бъдещи доходи след 2018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г. до безкрайност.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Осмо: Дисконтираме продължаващата стойност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(CV)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да я приведем към </w:t>
      </w:r>
      <w:r w:rsidR="0093305A" w:rsidRPr="00734131">
        <w:rPr>
          <w:rFonts w:ascii="Times New Roman" w:eastAsia="Times New Roman" w:hAnsi="Times New Roman" w:cs="Times New Roman"/>
          <w:b/>
          <w:sz w:val="24"/>
          <w:szCs w:val="24"/>
        </w:rPr>
        <w:t>момента на оценката – 31.12.201</w:t>
      </w:r>
      <w:r w:rsidR="0093305A" w:rsidRPr="00734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г.: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93305A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position w:val="-36"/>
          <w:sz w:val="24"/>
          <w:szCs w:val="24"/>
          <w:lang w:val="en-US"/>
        </w:rPr>
        <w:object w:dxaOrig="3180" w:dyaOrig="740">
          <v:shape id="_x0000_i1037" type="#_x0000_t75" style="width:159pt;height:37pt" o:ole="">
            <v:imagedata r:id="rId32" o:title=""/>
          </v:shape>
          <o:OLEObject Type="Embed" ProgID="Equation.DSMT4" ShapeID="_x0000_i1037" DrawAspect="Content" ObjectID="_1461413332" r:id="rId33"/>
        </w:objec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Девето: Определяме оперативната стойност на предприятието, т.е. стойността,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формирана на базата на очакваните бъдещи доходи от оперативната му дейност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E5B25">
        <w:rPr>
          <w:rFonts w:ascii="Times New Roman" w:eastAsia="Times New Roman" w:hAnsi="Times New Roman" w:cs="Times New Roman"/>
          <w:b/>
          <w:position w:val="-18"/>
          <w:sz w:val="24"/>
          <w:szCs w:val="24"/>
          <w:lang w:val="en-US"/>
        </w:rPr>
        <w:object w:dxaOrig="760" w:dyaOrig="440">
          <v:shape id="_x0000_i1038" type="#_x0000_t75" style="width:38pt;height:20.5pt" o:ole="">
            <v:imagedata r:id="rId34" o:title=""/>
          </v:shape>
          <o:OLEObject Type="Embed" ProgID="Equation.DSMT4" ShapeID="_x0000_i1038" DrawAspect="Content" ObjectID="_1461413333" r:id="rId35"/>
        </w:object>
      </w:r>
      <w:r w:rsidRPr="007E5B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Тя е </w:t>
      </w:r>
      <w:r w:rsidRPr="007E5B25">
        <w:rPr>
          <w:rFonts w:ascii="Times New Roman" w:eastAsia="Calibri" w:hAnsi="Times New Roman" w:cs="Times New Roman"/>
          <w:b/>
        </w:rPr>
        <w:t xml:space="preserve">сбор от дисконтираните свободни парични потоци за прогнозния период </w:t>
      </w:r>
      <w:r w:rsidRPr="007E5B25">
        <w:rPr>
          <w:rFonts w:ascii="Times New Roman" w:eastAsia="Calibri" w:hAnsi="Times New Roman" w:cs="Times New Roman"/>
          <w:b/>
          <w:lang w:val="en-US"/>
        </w:rPr>
        <w:t>(PV</w:t>
      </w:r>
      <w:r w:rsidRPr="007E5B25">
        <w:rPr>
          <w:rFonts w:ascii="Times New Roman" w:eastAsia="Calibri" w:hAnsi="Times New Roman" w:cs="Times New Roman"/>
          <w:b/>
          <w:vertAlign w:val="subscript"/>
          <w:lang w:val="en-US"/>
        </w:rPr>
        <w:t>FCF</w:t>
      </w:r>
      <w:r w:rsidRPr="007E5B25">
        <w:rPr>
          <w:rFonts w:ascii="Times New Roman" w:eastAsia="Calibri" w:hAnsi="Times New Roman" w:cs="Times New Roman"/>
          <w:b/>
          <w:lang w:val="en-US"/>
        </w:rPr>
        <w:t>)</w:t>
      </w:r>
      <w:r w:rsidRPr="007E5B25">
        <w:rPr>
          <w:rFonts w:ascii="Times New Roman" w:eastAsia="Calibri" w:hAnsi="Times New Roman" w:cs="Times New Roman"/>
          <w:b/>
        </w:rPr>
        <w:t xml:space="preserve"> и</w:t>
      </w:r>
      <w:r w:rsidRPr="007E5B25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7E5B25">
        <w:rPr>
          <w:rFonts w:ascii="Times New Roman" w:eastAsia="Calibri" w:hAnsi="Times New Roman" w:cs="Times New Roman"/>
          <w:b/>
        </w:rPr>
        <w:t>дисконтираната продължаваща стойност (PV</w:t>
      </w:r>
      <w:r w:rsidRPr="007E5B25">
        <w:rPr>
          <w:rFonts w:ascii="Times New Roman" w:eastAsia="Calibri" w:hAnsi="Times New Roman" w:cs="Times New Roman"/>
          <w:b/>
          <w:vertAlign w:val="subscript"/>
        </w:rPr>
        <w:t>CV</w:t>
      </w:r>
      <w:r w:rsidRPr="007E5B25">
        <w:rPr>
          <w:rFonts w:ascii="Times New Roman" w:eastAsia="Calibri" w:hAnsi="Times New Roman" w:cs="Times New Roman"/>
          <w:b/>
        </w:rPr>
        <w:t>):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5B25" w:rsidRPr="007E5B25" w:rsidRDefault="0093305A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31">
        <w:rPr>
          <w:rFonts w:ascii="Times New Roman" w:eastAsia="Times New Roman" w:hAnsi="Times New Roman" w:cs="Times New Roman"/>
          <w:b/>
          <w:position w:val="-18"/>
          <w:sz w:val="24"/>
          <w:szCs w:val="24"/>
          <w:lang w:val="en-US"/>
        </w:rPr>
        <w:object w:dxaOrig="2900" w:dyaOrig="480">
          <v:shape id="_x0000_i1039" type="#_x0000_t75" style="width:144.5pt;height:24pt" o:ole="">
            <v:imagedata r:id="rId36" o:title=""/>
          </v:shape>
          <o:OLEObject Type="Embed" ProgID="Equation.DSMT4" ShapeID="_x0000_i1039" DrawAspect="Content" ObjectID="_1461413334" r:id="rId37"/>
        </w:objec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b/>
          <w:sz w:val="24"/>
          <w:szCs w:val="24"/>
        </w:rPr>
        <w:t xml:space="preserve">Десето: Извършваме корекция на </w:t>
      </w:r>
      <w:r w:rsidRPr="007E5B25">
        <w:rPr>
          <w:rFonts w:ascii="Times New Roman" w:eastAsia="Calibri" w:hAnsi="Times New Roman" w:cs="Times New Roman"/>
          <w:b/>
          <w:sz w:val="24"/>
          <w:szCs w:val="24"/>
        </w:rPr>
        <w:t>оперативната стойност на предприятието за средногодишно дисконтиране, като я умножаваме по средногодишния коригиращ фактор (MYАF):</w:t>
      </w: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25" w:rsidRPr="007E5B25" w:rsidRDefault="0093305A" w:rsidP="007E5B25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34131">
        <w:rPr>
          <w:rFonts w:ascii="Times New Roman" w:eastAsia="Calibri" w:hAnsi="Times New Roman" w:cs="Times New Roman"/>
          <w:b/>
          <w:position w:val="-18"/>
        </w:rPr>
        <w:object w:dxaOrig="2820" w:dyaOrig="460">
          <v:shape id="_x0000_i1040" type="#_x0000_t75" style="width:140.5pt;height:23pt" o:ole="">
            <v:imagedata r:id="rId38" o:title=""/>
          </v:shape>
          <o:OLEObject Type="Embed" ProgID="Equation.DSMT4" ShapeID="_x0000_i1040" DrawAspect="Content" ObjectID="_1461413335" r:id="rId39"/>
        </w:object>
      </w:r>
    </w:p>
    <w:p w:rsidR="007E5B25" w:rsidRPr="00734131" w:rsidRDefault="007E5B25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E5B25">
        <w:rPr>
          <w:rFonts w:ascii="Times New Roman" w:eastAsia="Calibri" w:hAnsi="Times New Roman" w:cs="Times New Roman"/>
          <w:b/>
          <w:sz w:val="24"/>
          <w:szCs w:val="24"/>
        </w:rPr>
        <w:t>Единадесето: Стойността на предприятието като цяло (V) получаваме, след като добавим и стойността на неговите неоперативни и финансови активи – 6,885 млн. лв.:</w:t>
      </w:r>
    </w:p>
    <w:p w:rsidR="0093305A" w:rsidRDefault="0093305A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4FA" w:rsidRPr="007E5B25" w:rsidRDefault="00F824FA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25" w:rsidRDefault="0093305A" w:rsidP="007E5B25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34131">
        <w:rPr>
          <w:rFonts w:ascii="Times New Roman" w:eastAsia="Calibri" w:hAnsi="Times New Roman" w:cs="Times New Roman"/>
          <w:b/>
          <w:position w:val="-6"/>
        </w:rPr>
        <w:object w:dxaOrig="400" w:dyaOrig="260">
          <v:shape id="_x0000_i1041" type="#_x0000_t75" style="width:20pt;height:14.5pt" o:ole="">
            <v:imagedata r:id="rId40" o:title=""/>
          </v:shape>
          <o:OLEObject Type="Embed" ProgID="Equation.DSMT4" ShapeID="_x0000_i1041" DrawAspect="Content" ObjectID="_1461413336" r:id="rId41"/>
        </w:object>
      </w:r>
    </w:p>
    <w:p w:rsidR="00F824FA" w:rsidRPr="007E5B25" w:rsidRDefault="00F824FA" w:rsidP="007E5B25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7E5B25" w:rsidRPr="007E5B25" w:rsidRDefault="007E5B25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B25">
        <w:rPr>
          <w:rFonts w:ascii="Times New Roman" w:eastAsia="Calibri" w:hAnsi="Times New Roman" w:cs="Times New Roman"/>
          <w:b/>
          <w:sz w:val="24"/>
          <w:szCs w:val="24"/>
        </w:rPr>
        <w:t>Дванадесето: Определяме стойността на собствения капитал на предприятието (V</w:t>
      </w:r>
      <w:r w:rsidRPr="007E5B25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E</w:t>
      </w:r>
      <w:r w:rsidRPr="007E5B25">
        <w:rPr>
          <w:rFonts w:ascii="Times New Roman" w:eastAsia="Calibri" w:hAnsi="Times New Roman" w:cs="Times New Roman"/>
          <w:b/>
          <w:sz w:val="24"/>
          <w:szCs w:val="24"/>
        </w:rPr>
        <w:t>) или акционерната стойност, след приспадане на неговите лихвоносни финансови задължения – 9,672 млн.лв.:</w:t>
      </w:r>
    </w:p>
    <w:p w:rsidR="007E5B25" w:rsidRDefault="007E5B25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4FA" w:rsidRPr="007E5B25" w:rsidRDefault="00F824FA" w:rsidP="007E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25" w:rsidRDefault="0093305A" w:rsidP="007E5B25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34131">
        <w:rPr>
          <w:rFonts w:ascii="Times New Roman" w:eastAsia="Calibri" w:hAnsi="Times New Roman" w:cs="Times New Roman"/>
          <w:b/>
          <w:position w:val="-12"/>
        </w:rPr>
        <w:object w:dxaOrig="499" w:dyaOrig="360">
          <v:shape id="_x0000_i1042" type="#_x0000_t75" style="width:25pt;height:19pt" o:ole="">
            <v:imagedata r:id="rId42" o:title=""/>
          </v:shape>
          <o:OLEObject Type="Embed" ProgID="Equation.DSMT4" ShapeID="_x0000_i1042" DrawAspect="Content" ObjectID="_1461413337" r:id="rId43"/>
        </w:object>
      </w:r>
    </w:p>
    <w:p w:rsidR="00F824FA" w:rsidRPr="007E5B25" w:rsidRDefault="00F824FA" w:rsidP="007E5B25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7E5B25" w:rsidRDefault="007E5B25" w:rsidP="007E5B2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B25">
        <w:rPr>
          <w:rFonts w:ascii="Times New Roman" w:eastAsia="Calibri" w:hAnsi="Times New Roman" w:cs="Times New Roman"/>
          <w:b/>
          <w:sz w:val="24"/>
          <w:szCs w:val="24"/>
        </w:rPr>
        <w:t xml:space="preserve">Тринадесето: Определяме справедливата цена на акция </w:t>
      </w:r>
      <w:r w:rsidRPr="007E5B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(p</w:t>
      </w:r>
      <w:r w:rsidRPr="007E5B25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f</w:t>
      </w:r>
      <w:r w:rsidRPr="007E5B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):</w:t>
      </w:r>
    </w:p>
    <w:p w:rsidR="00F824FA" w:rsidRPr="007E5B25" w:rsidRDefault="00F824FA" w:rsidP="007E5B2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25" w:rsidRPr="007E5B25" w:rsidRDefault="0093305A" w:rsidP="007E5B2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34131">
        <w:rPr>
          <w:rFonts w:ascii="Times New Roman" w:eastAsia="Times New Roman" w:hAnsi="Times New Roman" w:cs="Times New Roman"/>
          <w:b/>
          <w:position w:val="-14"/>
          <w:sz w:val="24"/>
          <w:szCs w:val="24"/>
          <w:lang w:val="en-US"/>
        </w:rPr>
        <w:object w:dxaOrig="540" w:dyaOrig="380">
          <v:shape id="_x0000_i1043" type="#_x0000_t75" style="width:27pt;height:19.5pt" o:ole="">
            <v:imagedata r:id="rId44" o:title=""/>
          </v:shape>
          <o:OLEObject Type="Embed" ProgID="Equation.DSMT4" ShapeID="_x0000_i1043" DrawAspect="Content" ObjectID="_1461413338" r:id="rId45"/>
        </w:object>
      </w:r>
    </w:p>
    <w:p w:rsidR="009241C9" w:rsidRPr="00734131" w:rsidRDefault="009241C9">
      <w:pPr>
        <w:rPr>
          <w:b/>
        </w:rPr>
      </w:pPr>
    </w:p>
    <w:sectPr w:rsidR="009241C9" w:rsidRPr="00734131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B1" w:rsidRDefault="003129B1" w:rsidP="0013692D">
      <w:pPr>
        <w:spacing w:after="0" w:line="240" w:lineRule="auto"/>
      </w:pPr>
      <w:r>
        <w:separator/>
      </w:r>
    </w:p>
  </w:endnote>
  <w:endnote w:type="continuationSeparator" w:id="0">
    <w:p w:rsidR="003129B1" w:rsidRDefault="003129B1" w:rsidP="0013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92D" w:rsidRDefault="00136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92D" w:rsidRDefault="00136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B1" w:rsidRDefault="003129B1" w:rsidP="0013692D">
      <w:pPr>
        <w:spacing w:after="0" w:line="240" w:lineRule="auto"/>
      </w:pPr>
      <w:r>
        <w:separator/>
      </w:r>
    </w:p>
  </w:footnote>
  <w:footnote w:type="continuationSeparator" w:id="0">
    <w:p w:rsidR="003129B1" w:rsidRDefault="003129B1" w:rsidP="0013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56"/>
    <w:multiLevelType w:val="hybridMultilevel"/>
    <w:tmpl w:val="E0F8359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AF024D"/>
    <w:multiLevelType w:val="hybridMultilevel"/>
    <w:tmpl w:val="F000C4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25"/>
    <w:rsid w:val="000C7071"/>
    <w:rsid w:val="0013692D"/>
    <w:rsid w:val="003129B1"/>
    <w:rsid w:val="00734131"/>
    <w:rsid w:val="007E5B25"/>
    <w:rsid w:val="009241C9"/>
    <w:rsid w:val="0093305A"/>
    <w:rsid w:val="00B25F33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2D"/>
  </w:style>
  <w:style w:type="paragraph" w:styleId="Footer">
    <w:name w:val="footer"/>
    <w:basedOn w:val="Normal"/>
    <w:link w:val="FooterChar"/>
    <w:uiPriority w:val="99"/>
    <w:unhideWhenUsed/>
    <w:rsid w:val="0013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2D"/>
  </w:style>
  <w:style w:type="paragraph" w:styleId="Footer">
    <w:name w:val="footer"/>
    <w:basedOn w:val="Normal"/>
    <w:link w:val="FooterChar"/>
    <w:uiPriority w:val="99"/>
    <w:unhideWhenUsed/>
    <w:rsid w:val="0013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Todorov</dc:creator>
  <cp:lastModifiedBy>USER</cp:lastModifiedBy>
  <cp:revision>4</cp:revision>
  <cp:lastPrinted>2014-04-11T06:52:00Z</cp:lastPrinted>
  <dcterms:created xsi:type="dcterms:W3CDTF">2014-04-11T06:15:00Z</dcterms:created>
  <dcterms:modified xsi:type="dcterms:W3CDTF">2014-05-12T12:22:00Z</dcterms:modified>
</cp:coreProperties>
</file>