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E2" w:rsidRPr="0062393D" w:rsidRDefault="00AD48E2" w:rsidP="00AD48E2">
      <w:pPr>
        <w:pStyle w:val="Heading1"/>
        <w:rPr>
          <w:lang w:val="ru-RU"/>
        </w:rPr>
      </w:pPr>
      <w:bookmarkStart w:id="0" w:name="_Toc529522820"/>
      <w:bookmarkStart w:id="1" w:name="_GoBack"/>
      <w:r w:rsidRPr="0062393D">
        <w:rPr>
          <w:lang w:val="ru-RU"/>
        </w:rPr>
        <w:t xml:space="preserve">ПАЗАРНАТА ЛИКВИДНОСТ </w:t>
      </w:r>
      <w:bookmarkEnd w:id="1"/>
      <w:r w:rsidRPr="0062393D">
        <w:rPr>
          <w:lang w:val="ru-RU"/>
        </w:rPr>
        <w:t>НА БОРСОВИТЕ ДРУЖЕСТВА – ПОК</w:t>
      </w:r>
      <w:r w:rsidRPr="0062393D">
        <w:rPr>
          <w:lang w:val="ru-RU"/>
        </w:rPr>
        <w:t>А</w:t>
      </w:r>
      <w:r w:rsidRPr="0062393D">
        <w:rPr>
          <w:lang w:val="ru-RU"/>
        </w:rPr>
        <w:t xml:space="preserve">ЗАТЕЛ </w:t>
      </w:r>
      <w:proofErr w:type="gramStart"/>
      <w:r w:rsidRPr="0062393D">
        <w:rPr>
          <w:lang w:val="ru-RU"/>
        </w:rPr>
        <w:t>ЗА</w:t>
      </w:r>
      <w:proofErr w:type="gramEnd"/>
      <w:r w:rsidRPr="0062393D">
        <w:rPr>
          <w:lang w:val="ru-RU"/>
        </w:rPr>
        <w:t xml:space="preserve"> РИСКА И СТЕПЕНТА НА РАЗВИТИЕ </w:t>
      </w:r>
      <w:r w:rsidRPr="00534F3B">
        <w:rPr>
          <w:rFonts w:asciiTheme="minorHAnsi" w:hAnsiTheme="minorHAnsi"/>
          <w:lang w:val="bg-BG"/>
        </w:rPr>
        <w:br/>
      </w:r>
      <w:r w:rsidRPr="0062393D">
        <w:rPr>
          <w:lang w:val="ru-RU"/>
        </w:rPr>
        <w:t>НА КАПИТАЛОВИТЕ ПАЗАРИ</w:t>
      </w:r>
      <w:bookmarkEnd w:id="0"/>
    </w:p>
    <w:p w:rsidR="00AD48E2" w:rsidRPr="0062393D" w:rsidRDefault="00AD48E2" w:rsidP="00AD48E2">
      <w:pPr>
        <w:pStyle w:val="Heading2"/>
        <w:rPr>
          <w:lang w:val="ru-RU"/>
        </w:rPr>
      </w:pPr>
      <w:bookmarkStart w:id="2" w:name="_Toc529522821"/>
      <w:r w:rsidRPr="0062393D">
        <w:rPr>
          <w:lang w:val="ru-RU"/>
        </w:rPr>
        <w:t>Доц. д-р Стефан Симеонов, Стопанска академия "Д. А. Ценов"</w:t>
      </w:r>
      <w:bookmarkEnd w:id="2"/>
    </w:p>
    <w:p w:rsidR="00AD48E2" w:rsidRPr="00534F3B" w:rsidRDefault="00AD48E2" w:rsidP="00AD48E2">
      <w:pPr>
        <w:pStyle w:val="Heading1"/>
      </w:pPr>
      <w:bookmarkStart w:id="3" w:name="_Toc529522822"/>
      <w:r w:rsidRPr="00534F3B">
        <w:t xml:space="preserve">MARKET LIQUIDITY OF THE EXCHANGE COMPANIES – </w:t>
      </w:r>
      <w:r w:rsidRPr="00534F3B">
        <w:rPr>
          <w:rFonts w:asciiTheme="minorHAnsi" w:hAnsiTheme="minorHAnsi"/>
          <w:lang w:val="bg-BG"/>
        </w:rPr>
        <w:br/>
      </w:r>
      <w:r w:rsidRPr="00534F3B">
        <w:t xml:space="preserve">MEASURER FOR THE RISK AND THE EXTENT </w:t>
      </w:r>
      <w:r w:rsidRPr="00534F3B">
        <w:rPr>
          <w:rFonts w:asciiTheme="minorHAnsi" w:hAnsiTheme="minorHAnsi"/>
          <w:lang w:val="bg-BG"/>
        </w:rPr>
        <w:br/>
      </w:r>
      <w:r w:rsidRPr="00534F3B">
        <w:t>OF CAPITAL MARKETS DEVELOPMENT</w:t>
      </w:r>
      <w:bookmarkEnd w:id="3"/>
    </w:p>
    <w:p w:rsidR="00AD48E2" w:rsidRPr="00534F3B" w:rsidRDefault="00AD48E2" w:rsidP="00AD48E2">
      <w:pPr>
        <w:pStyle w:val="Heading2"/>
      </w:pPr>
      <w:bookmarkStart w:id="4" w:name="_Toc529522823"/>
      <w:r w:rsidRPr="00534F3B">
        <w:t>Assoc. Prof. Stefan Simeonov, Ph.D., Dimitar A. Tsenov Academy of Economics</w:t>
      </w:r>
      <w:bookmarkEnd w:id="4"/>
    </w:p>
    <w:p w:rsidR="00AD48E2" w:rsidRPr="00534F3B" w:rsidRDefault="00AD48E2" w:rsidP="00AD48E2">
      <w:pPr>
        <w:spacing w:line="300" w:lineRule="exact"/>
        <w:ind w:firstLine="284"/>
        <w:jc w:val="both"/>
        <w:rPr>
          <w:sz w:val="22"/>
          <w:szCs w:val="22"/>
        </w:rPr>
      </w:pPr>
      <w:r w:rsidRPr="00534F3B">
        <w:rPr>
          <w:b/>
          <w:sz w:val="22"/>
          <w:szCs w:val="22"/>
        </w:rPr>
        <w:t xml:space="preserve">Резюме: </w:t>
      </w:r>
      <w:r w:rsidRPr="00534F3B">
        <w:rPr>
          <w:i/>
          <w:sz w:val="22"/>
          <w:szCs w:val="22"/>
        </w:rPr>
        <w:t>Пазарната ликвидност на борсовотъргуваните акции се оказва основен проблем за фондовите борси от новата периферия на ЕС. Въпреки това пазарната ликвидност обичайно остава извън изследо</w:t>
      </w:r>
      <w:r w:rsidRPr="00534F3B">
        <w:rPr>
          <w:i/>
          <w:sz w:val="22"/>
          <w:szCs w:val="22"/>
        </w:rPr>
        <w:softHyphen/>
        <w:t>вателския фокус при инвестиционния анализ. Пазарната ликвидност на ма</w:t>
      </w:r>
      <w:r w:rsidRPr="00534F3B">
        <w:rPr>
          <w:i/>
          <w:sz w:val="22"/>
          <w:szCs w:val="22"/>
        </w:rPr>
        <w:t>к</w:t>
      </w:r>
      <w:r w:rsidRPr="00534F3B">
        <w:rPr>
          <w:i/>
          <w:sz w:val="22"/>
          <w:szCs w:val="22"/>
        </w:rPr>
        <w:t>ропазарно и на микрониво следва да се изследва в пряка и двустранна обвързаност с риска на бо</w:t>
      </w:r>
      <w:r w:rsidRPr="00534F3B">
        <w:rPr>
          <w:i/>
          <w:sz w:val="22"/>
          <w:szCs w:val="22"/>
        </w:rPr>
        <w:t>р</w:t>
      </w:r>
      <w:r w:rsidRPr="00534F3B">
        <w:rPr>
          <w:i/>
          <w:sz w:val="22"/>
          <w:szCs w:val="22"/>
        </w:rPr>
        <w:t>сово търгуваните акции и като иманентна част от техния инвестиционния профил. Пазарната ликвидност на дружествата се явява ясен показател за нивото на развитие на капиталовите пазари и степента на тяхната конвергенция. В настоящото изследване систематизираме анал</w:t>
      </w:r>
      <w:r w:rsidRPr="00534F3B">
        <w:rPr>
          <w:i/>
          <w:sz w:val="22"/>
          <w:szCs w:val="22"/>
        </w:rPr>
        <w:t>и</w:t>
      </w:r>
      <w:r w:rsidRPr="00534F3B">
        <w:rPr>
          <w:i/>
          <w:sz w:val="22"/>
          <w:szCs w:val="22"/>
        </w:rPr>
        <w:t>тичната стойност на индикаторите и показателите за микропазарна ликвидност, като изве</w:t>
      </w:r>
      <w:r w:rsidRPr="00534F3B">
        <w:rPr>
          <w:i/>
          <w:sz w:val="22"/>
          <w:szCs w:val="22"/>
        </w:rPr>
        <w:t>ж</w:t>
      </w:r>
      <w:r w:rsidRPr="00534F3B">
        <w:rPr>
          <w:i/>
          <w:sz w:val="22"/>
          <w:szCs w:val="22"/>
        </w:rPr>
        <w:t>даме и някои нови измерители с приоритетна значи</w:t>
      </w:r>
      <w:r w:rsidRPr="00534F3B">
        <w:rPr>
          <w:i/>
          <w:sz w:val="22"/>
          <w:szCs w:val="22"/>
        </w:rPr>
        <w:softHyphen/>
        <w:t>мост. За обективна оценка при сравнителен анализ на повече дружества въвеждаме и прилагаме модел за комплексна оценка на пазарната ликвидност на дружествата.</w:t>
      </w:r>
      <w:r w:rsidRPr="00534F3B">
        <w:rPr>
          <w:sz w:val="22"/>
          <w:szCs w:val="22"/>
        </w:rPr>
        <w:t xml:space="preserve"> </w:t>
      </w:r>
    </w:p>
    <w:p w:rsidR="00AD48E2" w:rsidRPr="00534F3B" w:rsidRDefault="00AD48E2" w:rsidP="00AD48E2">
      <w:pPr>
        <w:pStyle w:val="ListParagraph"/>
        <w:spacing w:line="300" w:lineRule="exact"/>
        <w:ind w:left="0" w:firstLine="284"/>
        <w:contextualSpacing w:val="0"/>
        <w:jc w:val="both"/>
        <w:rPr>
          <w:sz w:val="22"/>
          <w:szCs w:val="22"/>
          <w:lang w:val="bg-BG"/>
        </w:rPr>
      </w:pPr>
      <w:r w:rsidRPr="00534F3B">
        <w:rPr>
          <w:b/>
          <w:sz w:val="22"/>
          <w:szCs w:val="22"/>
          <w:lang w:val="bg-BG"/>
        </w:rPr>
        <w:t>Ключови понятия</w:t>
      </w:r>
      <w:r w:rsidRPr="00534F3B">
        <w:rPr>
          <w:sz w:val="22"/>
          <w:szCs w:val="22"/>
          <w:lang w:val="bg-BG"/>
        </w:rPr>
        <w:t xml:space="preserve">: </w:t>
      </w:r>
      <w:r w:rsidRPr="00534F3B">
        <w:rPr>
          <w:i/>
          <w:sz w:val="22"/>
          <w:szCs w:val="22"/>
          <w:lang w:val="bg-BG"/>
        </w:rPr>
        <w:t>пазарна ликвидност; инвестиционна активност; борсов обем; борсов об</w:t>
      </w:r>
      <w:r w:rsidRPr="00534F3B">
        <w:rPr>
          <w:i/>
          <w:sz w:val="22"/>
          <w:szCs w:val="22"/>
          <w:lang w:val="bg-BG"/>
        </w:rPr>
        <w:t>о</w:t>
      </w:r>
      <w:r w:rsidRPr="00534F3B">
        <w:rPr>
          <w:i/>
          <w:sz w:val="22"/>
          <w:szCs w:val="22"/>
          <w:lang w:val="bg-BG"/>
        </w:rPr>
        <w:t>рот; коефициент на търговските дни; коефициент на борсовия обем</w:t>
      </w:r>
      <w:r w:rsidRPr="00534F3B">
        <w:rPr>
          <w:sz w:val="22"/>
          <w:szCs w:val="22"/>
          <w:lang w:val="bg-BG"/>
        </w:rPr>
        <w:t>.</w:t>
      </w:r>
    </w:p>
    <w:p w:rsidR="00AD48E2" w:rsidRPr="00534F3B" w:rsidRDefault="00AD48E2" w:rsidP="00AD48E2">
      <w:pPr>
        <w:pStyle w:val="ListParagraph"/>
        <w:spacing w:line="300" w:lineRule="exact"/>
        <w:ind w:left="0" w:firstLine="284"/>
        <w:contextualSpacing w:val="0"/>
        <w:jc w:val="both"/>
        <w:rPr>
          <w:sz w:val="22"/>
          <w:szCs w:val="22"/>
          <w:lang w:val="bg-BG"/>
        </w:rPr>
      </w:pPr>
      <w:r w:rsidRPr="00534F3B">
        <w:rPr>
          <w:sz w:val="22"/>
          <w:szCs w:val="22"/>
          <w:lang w:val="bg-BG"/>
        </w:rPr>
        <w:t>JEL: G11; G12; G14; G17.</w:t>
      </w:r>
    </w:p>
    <w:p w:rsidR="00AD48E2" w:rsidRPr="00534F3B" w:rsidRDefault="00AD48E2" w:rsidP="00AD48E2">
      <w:pPr>
        <w:pStyle w:val="ListParagraph"/>
        <w:spacing w:line="300" w:lineRule="exact"/>
        <w:ind w:left="0" w:firstLine="284"/>
        <w:contextualSpacing w:val="0"/>
        <w:jc w:val="both"/>
        <w:rPr>
          <w:i/>
          <w:sz w:val="22"/>
          <w:szCs w:val="22"/>
          <w:lang w:val="bg-BG"/>
        </w:rPr>
      </w:pPr>
    </w:p>
    <w:p w:rsidR="00AD48E2" w:rsidRPr="00534F3B" w:rsidRDefault="00AD48E2" w:rsidP="00AD48E2">
      <w:pPr>
        <w:spacing w:line="300" w:lineRule="exact"/>
        <w:ind w:firstLine="284"/>
        <w:jc w:val="both"/>
        <w:rPr>
          <w:sz w:val="22"/>
          <w:szCs w:val="22"/>
        </w:rPr>
      </w:pPr>
      <w:r w:rsidRPr="00534F3B">
        <w:rPr>
          <w:b/>
          <w:sz w:val="22"/>
          <w:szCs w:val="22"/>
        </w:rPr>
        <w:t xml:space="preserve">Summary: </w:t>
      </w:r>
      <w:r w:rsidRPr="00534F3B">
        <w:rPr>
          <w:i/>
          <w:spacing w:val="-4"/>
          <w:sz w:val="22"/>
          <w:szCs w:val="22"/>
        </w:rPr>
        <w:t>The Market liquidity of exchange traded shares turns out a major problem for stock exchanges on the EU's new periphery. However, the market liquidity typically remains outside the research focus of investment analysis. Macro-market and micro-market market liquidity should be investigated in a direct and bilateral relationship with the risk of exchange-traded shares and as an immanent part of their investment profile. The market liquidity appears as a clear indicator of the level of development of the capital markets and the degree of their convergence. In the present study, we systematize the analytical value of the indicators and the analytical indices for micro-market liquidity, and we also bring some new measures of priority significance. For objective assessment in a comparative analysis of more companies, we introduce and apply a model for a complex assessment of the market liquidity of the companies</w:t>
      </w:r>
      <w:r w:rsidRPr="00534F3B">
        <w:rPr>
          <w:sz w:val="22"/>
          <w:szCs w:val="22"/>
        </w:rPr>
        <w:t>.</w:t>
      </w:r>
    </w:p>
    <w:p w:rsidR="00AD48E2" w:rsidRPr="00534F3B" w:rsidRDefault="00AD48E2" w:rsidP="00AD48E2">
      <w:pPr>
        <w:spacing w:line="300" w:lineRule="exact"/>
        <w:ind w:firstLine="284"/>
        <w:jc w:val="both"/>
        <w:rPr>
          <w:sz w:val="22"/>
          <w:szCs w:val="22"/>
        </w:rPr>
      </w:pPr>
      <w:r w:rsidRPr="00534F3B">
        <w:rPr>
          <w:b/>
          <w:sz w:val="22"/>
          <w:szCs w:val="22"/>
        </w:rPr>
        <w:t>Key words:</w:t>
      </w:r>
      <w:r w:rsidRPr="00534F3B">
        <w:rPr>
          <w:sz w:val="22"/>
          <w:szCs w:val="22"/>
        </w:rPr>
        <w:t xml:space="preserve"> </w:t>
      </w:r>
      <w:r w:rsidRPr="00534F3B">
        <w:rPr>
          <w:i/>
          <w:sz w:val="22"/>
          <w:szCs w:val="22"/>
        </w:rPr>
        <w:t>market liquidity; investment activity; exchange volume; exchange turnover; traded days ratio; exchange volume ratio</w:t>
      </w:r>
      <w:r w:rsidRPr="00534F3B">
        <w:rPr>
          <w:sz w:val="22"/>
          <w:szCs w:val="22"/>
        </w:rPr>
        <w:t>.</w:t>
      </w:r>
    </w:p>
    <w:p w:rsidR="00AD48E2" w:rsidRPr="00534F3B" w:rsidRDefault="00AD48E2" w:rsidP="00AD48E2">
      <w:pPr>
        <w:pStyle w:val="ListParagraph"/>
        <w:spacing w:line="300" w:lineRule="exact"/>
        <w:ind w:left="0" w:firstLine="284"/>
        <w:contextualSpacing w:val="0"/>
        <w:jc w:val="both"/>
        <w:rPr>
          <w:sz w:val="22"/>
          <w:szCs w:val="22"/>
          <w:lang w:val="bg-BG"/>
        </w:rPr>
      </w:pPr>
      <w:r w:rsidRPr="00534F3B">
        <w:rPr>
          <w:sz w:val="22"/>
          <w:szCs w:val="22"/>
          <w:lang w:val="bg-BG"/>
        </w:rPr>
        <w:t>JEL: G11; G12; G14; G17.</w:t>
      </w:r>
    </w:p>
    <w:p w:rsidR="00AD48E2" w:rsidRPr="00534F3B" w:rsidRDefault="00AD48E2" w:rsidP="00AD48E2">
      <w:pPr>
        <w:spacing w:line="300" w:lineRule="exact"/>
        <w:ind w:firstLine="284"/>
        <w:jc w:val="both"/>
        <w:rPr>
          <w:b/>
          <w:sz w:val="22"/>
          <w:szCs w:val="22"/>
        </w:rPr>
      </w:pPr>
    </w:p>
    <w:p w:rsidR="00AD48E2" w:rsidRPr="00534F3B" w:rsidRDefault="00AD48E2" w:rsidP="00AD48E2">
      <w:pPr>
        <w:spacing w:line="300" w:lineRule="exact"/>
        <w:ind w:firstLine="284"/>
        <w:jc w:val="both"/>
        <w:rPr>
          <w:i/>
          <w:sz w:val="22"/>
          <w:szCs w:val="22"/>
        </w:rPr>
      </w:pPr>
      <w:r w:rsidRPr="00534F3B">
        <w:rPr>
          <w:i/>
          <w:sz w:val="22"/>
          <w:szCs w:val="22"/>
        </w:rPr>
        <w:t>Ако приемем, че номиналът на монетата изразява доходността при акциите, а гербът – ри</w:t>
      </w:r>
      <w:r w:rsidRPr="00534F3B">
        <w:rPr>
          <w:i/>
          <w:sz w:val="22"/>
          <w:szCs w:val="22"/>
        </w:rPr>
        <w:t>с</w:t>
      </w:r>
      <w:r w:rsidRPr="00534F3B">
        <w:rPr>
          <w:i/>
          <w:sz w:val="22"/>
          <w:szCs w:val="22"/>
        </w:rPr>
        <w:t>ка, то конвертируемостта на валутата е аналог на пазарната ликвидност за акциите.</w:t>
      </w:r>
    </w:p>
    <w:p w:rsidR="00AD48E2" w:rsidRPr="00534F3B" w:rsidRDefault="00AD48E2" w:rsidP="00AD48E2">
      <w:pPr>
        <w:spacing w:line="300" w:lineRule="exact"/>
        <w:ind w:firstLine="284"/>
        <w:jc w:val="both"/>
        <w:rPr>
          <w:b/>
          <w:sz w:val="22"/>
          <w:szCs w:val="22"/>
        </w:rPr>
      </w:pPr>
    </w:p>
    <w:p w:rsidR="00AD48E2" w:rsidRPr="00534F3B" w:rsidRDefault="00AD48E2" w:rsidP="00AD48E2">
      <w:pPr>
        <w:pStyle w:val="Heading3"/>
      </w:pPr>
      <w:r w:rsidRPr="00534F3B">
        <w:t>Въведение</w:t>
      </w:r>
    </w:p>
    <w:p w:rsidR="00AD48E2" w:rsidRPr="00534F3B" w:rsidRDefault="00AD48E2" w:rsidP="00AD48E2">
      <w:pPr>
        <w:spacing w:line="300" w:lineRule="exact"/>
        <w:ind w:firstLine="284"/>
        <w:jc w:val="both"/>
        <w:rPr>
          <w:sz w:val="22"/>
          <w:szCs w:val="22"/>
        </w:rPr>
      </w:pPr>
      <w:r w:rsidRPr="00534F3B">
        <w:rPr>
          <w:sz w:val="22"/>
          <w:szCs w:val="22"/>
        </w:rPr>
        <w:t>Пазарната ликвидност обичайно остава извън изследователския фокус при инвестиционния ан</w:t>
      </w:r>
      <w:r w:rsidRPr="00534F3B">
        <w:rPr>
          <w:sz w:val="22"/>
          <w:szCs w:val="22"/>
        </w:rPr>
        <w:t>а</w:t>
      </w:r>
      <w:r w:rsidRPr="00534F3B">
        <w:rPr>
          <w:sz w:val="22"/>
          <w:szCs w:val="22"/>
        </w:rPr>
        <w:t xml:space="preserve">лиз на борсовите инструменти, докато вниманието е съсредоточено върху доходността и </w:t>
      </w:r>
      <w:r w:rsidRPr="00534F3B">
        <w:rPr>
          <w:sz w:val="22"/>
          <w:szCs w:val="22"/>
        </w:rPr>
        <w:lastRenderedPageBreak/>
        <w:t>оценяв</w:t>
      </w:r>
      <w:r w:rsidRPr="00534F3B">
        <w:rPr>
          <w:sz w:val="22"/>
          <w:szCs w:val="22"/>
        </w:rPr>
        <w:t>а</w:t>
      </w:r>
      <w:r w:rsidRPr="00534F3B">
        <w:rPr>
          <w:sz w:val="22"/>
          <w:szCs w:val="22"/>
        </w:rPr>
        <w:t>нето на риска. Недостатъчната пазарна ликвидност на новоформиращите се капиталови пазари и в частност на Българска Фондова Борса се оказва сериозен проблем, който продължава в различните фази на дългосрочния тренд и се иденти</w:t>
      </w:r>
      <w:r w:rsidRPr="00534F3B">
        <w:rPr>
          <w:sz w:val="22"/>
          <w:szCs w:val="22"/>
        </w:rPr>
        <w:softHyphen/>
        <w:t>фицира като доминиращ фактор и специфично проявление на кризата при по-младите фондови борси от Източна Европа. Въпросът за пазарната ликвидност откриваме в различни изслед</w:t>
      </w:r>
      <w:r w:rsidRPr="00534F3B">
        <w:rPr>
          <w:sz w:val="22"/>
          <w:szCs w:val="22"/>
        </w:rPr>
        <w:softHyphen/>
        <w:t>вания през последните години. Sony Sayari и Abdelwahed Omri раз</w:t>
      </w:r>
      <w:r w:rsidRPr="00534F3B">
        <w:rPr>
          <w:sz w:val="22"/>
          <w:szCs w:val="22"/>
        </w:rPr>
        <w:t>г</w:t>
      </w:r>
      <w:r w:rsidRPr="00534F3B">
        <w:rPr>
          <w:sz w:val="22"/>
          <w:szCs w:val="22"/>
        </w:rPr>
        <w:t>леждат връзката между управлението на приходите, капиталовите натрупвания и ликвидността на акциите.</w:t>
      </w:r>
      <w:r w:rsidRPr="00534F3B">
        <w:rPr>
          <w:rStyle w:val="FootnoteReference"/>
          <w:sz w:val="22"/>
          <w:szCs w:val="22"/>
        </w:rPr>
        <w:footnoteReference w:id="1"/>
      </w:r>
      <w:r w:rsidRPr="00534F3B">
        <w:rPr>
          <w:sz w:val="22"/>
          <w:szCs w:val="22"/>
        </w:rPr>
        <w:t xml:space="preserve"> Жан-Филип Бушо и Жюлию Бонар акцентират върху значението на ликвидността (изр</w:t>
      </w:r>
      <w:r w:rsidRPr="00534F3B">
        <w:rPr>
          <w:sz w:val="22"/>
          <w:szCs w:val="22"/>
        </w:rPr>
        <w:t>а</w:t>
      </w:r>
      <w:r w:rsidRPr="00534F3B">
        <w:rPr>
          <w:sz w:val="22"/>
          <w:szCs w:val="22"/>
        </w:rPr>
        <w:t>зена с "плътността" на сделките и борсовия обем) за пазарното равновесие.</w:t>
      </w:r>
      <w:r w:rsidRPr="00534F3B">
        <w:rPr>
          <w:rStyle w:val="FootnoteReference"/>
          <w:sz w:val="22"/>
          <w:szCs w:val="22"/>
        </w:rPr>
        <w:footnoteReference w:id="2"/>
      </w:r>
      <w:r w:rsidRPr="00534F3B">
        <w:rPr>
          <w:sz w:val="22"/>
          <w:szCs w:val="22"/>
        </w:rPr>
        <w:t xml:space="preserve"> Канг, В и Х. Жанг из</w:t>
      </w:r>
      <w:r w:rsidRPr="00534F3B">
        <w:rPr>
          <w:sz w:val="22"/>
          <w:szCs w:val="22"/>
        </w:rPr>
        <w:t>с</w:t>
      </w:r>
      <w:r w:rsidRPr="00534F3B">
        <w:rPr>
          <w:sz w:val="22"/>
          <w:szCs w:val="22"/>
        </w:rPr>
        <w:t>ледват ликвидността ма развиващите се пазари.</w:t>
      </w:r>
      <w:r w:rsidRPr="00534F3B">
        <w:rPr>
          <w:rStyle w:val="FootnoteReference"/>
          <w:sz w:val="22"/>
          <w:szCs w:val="22"/>
        </w:rPr>
        <w:footnoteReference w:id="3"/>
      </w:r>
      <w:r w:rsidRPr="00534F3B">
        <w:rPr>
          <w:sz w:val="22"/>
          <w:szCs w:val="22"/>
        </w:rPr>
        <w:t xml:space="preserve"> Найденова, К. разглежда измерителите на пазарна ликвидност главно на макрониво в проучване на българския фондов пазар.</w:t>
      </w:r>
      <w:r w:rsidRPr="00534F3B">
        <w:rPr>
          <w:rStyle w:val="FootnoteReference"/>
          <w:sz w:val="22"/>
          <w:szCs w:val="22"/>
        </w:rPr>
        <w:footnoteReference w:id="4"/>
      </w:r>
      <w:r w:rsidRPr="00534F3B">
        <w:rPr>
          <w:sz w:val="22"/>
          <w:szCs w:val="22"/>
        </w:rPr>
        <w:t xml:space="preserve"> </w:t>
      </w:r>
    </w:p>
    <w:p w:rsidR="00AD48E2" w:rsidRPr="00534F3B" w:rsidRDefault="00AD48E2" w:rsidP="00AD48E2">
      <w:pPr>
        <w:spacing w:line="300" w:lineRule="exact"/>
        <w:ind w:firstLine="284"/>
        <w:jc w:val="both"/>
        <w:rPr>
          <w:sz w:val="22"/>
          <w:szCs w:val="22"/>
        </w:rPr>
      </w:pPr>
      <w:r w:rsidRPr="00534F3B">
        <w:rPr>
          <w:sz w:val="22"/>
          <w:szCs w:val="22"/>
        </w:rPr>
        <w:t xml:space="preserve">С настоящото изследване имаме за </w:t>
      </w:r>
      <w:r w:rsidRPr="00534F3B">
        <w:rPr>
          <w:b/>
          <w:sz w:val="22"/>
          <w:szCs w:val="22"/>
        </w:rPr>
        <w:t>цел</w:t>
      </w:r>
      <w:r w:rsidRPr="00534F3B">
        <w:rPr>
          <w:sz w:val="22"/>
          <w:szCs w:val="22"/>
        </w:rPr>
        <w:t xml:space="preserve"> формирането на модел за комплексна оценка на микр</w:t>
      </w:r>
      <w:r w:rsidRPr="00534F3B">
        <w:rPr>
          <w:sz w:val="22"/>
          <w:szCs w:val="22"/>
        </w:rPr>
        <w:t>о</w:t>
      </w:r>
      <w:r w:rsidRPr="00534F3B">
        <w:rPr>
          <w:sz w:val="22"/>
          <w:szCs w:val="22"/>
        </w:rPr>
        <w:t>пазарната ликвидност, позволяваща обективна съпоставка между повече дружества с различни показатели. Прилагаме подробна систематика на индикаторите и аналитичните показатели за п</w:t>
      </w:r>
      <w:r w:rsidRPr="00534F3B">
        <w:rPr>
          <w:sz w:val="22"/>
          <w:szCs w:val="22"/>
        </w:rPr>
        <w:t>а</w:t>
      </w:r>
      <w:r w:rsidRPr="00534F3B">
        <w:rPr>
          <w:sz w:val="22"/>
          <w:szCs w:val="22"/>
        </w:rPr>
        <w:t>зарна ликвидност на дружествата,</w:t>
      </w:r>
      <w:r w:rsidRPr="00534F3B">
        <w:rPr>
          <w:rStyle w:val="FootnoteReference"/>
          <w:sz w:val="22"/>
          <w:szCs w:val="22"/>
        </w:rPr>
        <w:footnoteReference w:id="5"/>
      </w:r>
      <w:r w:rsidRPr="00534F3B">
        <w:rPr>
          <w:sz w:val="22"/>
          <w:szCs w:val="22"/>
        </w:rPr>
        <w:t xml:space="preserve"> както и някои измерители, които въвеждаме за първи път. О</w:t>
      </w:r>
      <w:r w:rsidRPr="00534F3B">
        <w:rPr>
          <w:sz w:val="22"/>
          <w:szCs w:val="22"/>
        </w:rPr>
        <w:t>с</w:t>
      </w:r>
      <w:r w:rsidRPr="00534F3B">
        <w:rPr>
          <w:sz w:val="22"/>
          <w:szCs w:val="22"/>
        </w:rPr>
        <w:t>новен акцент поставяме върху аналитичната значимост на отделните измерители.</w:t>
      </w:r>
    </w:p>
    <w:p w:rsidR="00AD48E2" w:rsidRPr="00534F3B" w:rsidRDefault="00AD48E2" w:rsidP="00AD48E2">
      <w:pPr>
        <w:spacing w:line="300" w:lineRule="exact"/>
        <w:ind w:firstLine="284"/>
        <w:jc w:val="both"/>
        <w:rPr>
          <w:sz w:val="22"/>
          <w:szCs w:val="22"/>
        </w:rPr>
      </w:pPr>
    </w:p>
    <w:p w:rsidR="00AD48E2" w:rsidRPr="00534F3B" w:rsidRDefault="00AD48E2" w:rsidP="00AD48E2">
      <w:pPr>
        <w:pStyle w:val="Heading3"/>
      </w:pPr>
      <w:r w:rsidRPr="0062393D">
        <w:rPr>
          <w:lang w:val="ru-RU"/>
        </w:rPr>
        <w:t>1</w:t>
      </w:r>
      <w:r w:rsidRPr="00534F3B">
        <w:t>. Обосновка на избраните инвестиционни инструменти и ползваните данни</w:t>
      </w:r>
    </w:p>
    <w:p w:rsidR="00AD48E2" w:rsidRPr="0062393D" w:rsidRDefault="00AD48E2" w:rsidP="00AD48E2">
      <w:pPr>
        <w:spacing w:line="300" w:lineRule="exact"/>
        <w:ind w:firstLine="284"/>
        <w:jc w:val="both"/>
        <w:rPr>
          <w:sz w:val="22"/>
          <w:szCs w:val="22"/>
          <w:lang w:val="ru-RU"/>
        </w:rPr>
      </w:pPr>
      <w:r w:rsidRPr="00534F3B">
        <w:rPr>
          <w:sz w:val="22"/>
          <w:szCs w:val="22"/>
        </w:rPr>
        <w:t>За целите на настоящото изследване разглеждаме дружествата от основния пазар на БФБ, за к</w:t>
      </w:r>
      <w:r w:rsidRPr="00534F3B">
        <w:rPr>
          <w:sz w:val="22"/>
          <w:szCs w:val="22"/>
        </w:rPr>
        <w:t>о</w:t>
      </w:r>
      <w:r w:rsidRPr="00534F3B">
        <w:rPr>
          <w:sz w:val="22"/>
          <w:szCs w:val="22"/>
        </w:rPr>
        <w:t>ито се прилага метода "непрекъсната търговия".</w:t>
      </w:r>
      <w:r w:rsidRPr="00534F3B">
        <w:rPr>
          <w:rStyle w:val="FootnoteReference"/>
          <w:sz w:val="22"/>
          <w:szCs w:val="22"/>
        </w:rPr>
        <w:footnoteReference w:id="6"/>
      </w:r>
      <w:r w:rsidRPr="00534F3B">
        <w:rPr>
          <w:sz w:val="22"/>
          <w:szCs w:val="22"/>
        </w:rPr>
        <w:t xml:space="preserve"> Подборът тук включва по две дружества от всеки един от четирите индекса на БФБ, съответно тези с най-голяма и тези с най-малка борсова сто</w:t>
      </w:r>
      <w:r w:rsidRPr="00534F3B">
        <w:rPr>
          <w:sz w:val="22"/>
          <w:szCs w:val="22"/>
        </w:rPr>
        <w:t>й</w:t>
      </w:r>
      <w:r w:rsidRPr="00534F3B">
        <w:rPr>
          <w:sz w:val="22"/>
          <w:szCs w:val="22"/>
        </w:rPr>
        <w:t>ности (пазарна капита</w:t>
      </w:r>
      <w:r w:rsidRPr="00534F3B">
        <w:rPr>
          <w:sz w:val="22"/>
          <w:szCs w:val="22"/>
        </w:rPr>
        <w:softHyphen/>
        <w:t xml:space="preserve">лизация), както следва: </w:t>
      </w:r>
    </w:p>
    <w:p w:rsidR="00AD48E2" w:rsidRPr="00534F3B" w:rsidRDefault="00AD48E2" w:rsidP="00AD48E2">
      <w:pPr>
        <w:pStyle w:val="FIG"/>
      </w:pPr>
      <w:r w:rsidRPr="00534F3B">
        <w:t>Таблица 1. Селектирани дружества от четирите индекса на БФБ</w:t>
      </w:r>
    </w:p>
    <w:tbl>
      <w:tblPr>
        <w:tblStyle w:val="TableGrid"/>
        <w:tblW w:w="9469" w:type="dxa"/>
        <w:jc w:val="center"/>
        <w:tblCellMar>
          <w:left w:w="57" w:type="dxa"/>
          <w:right w:w="57" w:type="dxa"/>
        </w:tblCellMar>
        <w:tblLook w:val="04A0" w:firstRow="1" w:lastRow="0" w:firstColumn="1" w:lastColumn="0" w:noHBand="0" w:noVBand="1"/>
      </w:tblPr>
      <w:tblGrid>
        <w:gridCol w:w="1441"/>
        <w:gridCol w:w="4009"/>
        <w:gridCol w:w="4019"/>
      </w:tblGrid>
      <w:tr w:rsidR="00AD48E2" w:rsidRPr="00534F3B" w:rsidTr="00F76C47">
        <w:trPr>
          <w:trHeight w:val="20"/>
          <w:jc w:val="center"/>
        </w:trPr>
        <w:tc>
          <w:tcPr>
            <w:tcW w:w="1441" w:type="dxa"/>
          </w:tcPr>
          <w:p w:rsidR="00AD48E2" w:rsidRPr="00534F3B" w:rsidRDefault="00AD48E2" w:rsidP="00F76C47">
            <w:pPr>
              <w:spacing w:before="40" w:after="40"/>
              <w:jc w:val="center"/>
              <w:rPr>
                <w:sz w:val="20"/>
                <w:szCs w:val="20"/>
              </w:rPr>
            </w:pPr>
            <w:r w:rsidRPr="00534F3B">
              <w:rPr>
                <w:sz w:val="20"/>
                <w:szCs w:val="20"/>
              </w:rPr>
              <w:t xml:space="preserve">Борсов </w:t>
            </w:r>
            <w:r w:rsidRPr="00534F3B">
              <w:rPr>
                <w:sz w:val="20"/>
                <w:szCs w:val="20"/>
              </w:rPr>
              <w:br/>
              <w:t>индекс</w:t>
            </w:r>
          </w:p>
        </w:tc>
        <w:tc>
          <w:tcPr>
            <w:tcW w:w="4009" w:type="dxa"/>
          </w:tcPr>
          <w:p w:rsidR="00AD48E2" w:rsidRPr="00534F3B" w:rsidRDefault="00AD48E2" w:rsidP="00F76C47">
            <w:pPr>
              <w:spacing w:before="40" w:after="40"/>
              <w:jc w:val="center"/>
              <w:rPr>
                <w:sz w:val="20"/>
                <w:szCs w:val="20"/>
              </w:rPr>
            </w:pPr>
            <w:r w:rsidRPr="00534F3B">
              <w:rPr>
                <w:sz w:val="20"/>
                <w:szCs w:val="20"/>
              </w:rPr>
              <w:t xml:space="preserve">Дружество </w:t>
            </w:r>
            <w:r w:rsidRPr="00534F3B">
              <w:rPr>
                <w:sz w:val="20"/>
                <w:szCs w:val="20"/>
              </w:rPr>
              <w:br/>
              <w:t>с най-голяма борсова стойност</w:t>
            </w:r>
          </w:p>
        </w:tc>
        <w:tc>
          <w:tcPr>
            <w:tcW w:w="4019" w:type="dxa"/>
          </w:tcPr>
          <w:p w:rsidR="00AD48E2" w:rsidRPr="00534F3B" w:rsidRDefault="00AD48E2" w:rsidP="00F76C47">
            <w:pPr>
              <w:spacing w:before="40" w:after="40"/>
              <w:jc w:val="center"/>
              <w:rPr>
                <w:i/>
                <w:sz w:val="20"/>
                <w:szCs w:val="20"/>
              </w:rPr>
            </w:pPr>
            <w:r w:rsidRPr="00534F3B">
              <w:rPr>
                <w:sz w:val="20"/>
                <w:szCs w:val="20"/>
              </w:rPr>
              <w:t xml:space="preserve">Дружество </w:t>
            </w:r>
            <w:r w:rsidRPr="00534F3B">
              <w:rPr>
                <w:sz w:val="20"/>
                <w:szCs w:val="20"/>
              </w:rPr>
              <w:br/>
              <w:t>с най-малка борсова стойност</w:t>
            </w:r>
          </w:p>
        </w:tc>
      </w:tr>
      <w:tr w:rsidR="00AD48E2" w:rsidRPr="00534F3B" w:rsidTr="00F76C47">
        <w:trPr>
          <w:trHeight w:val="20"/>
          <w:jc w:val="center"/>
        </w:trPr>
        <w:tc>
          <w:tcPr>
            <w:tcW w:w="1441" w:type="dxa"/>
          </w:tcPr>
          <w:p w:rsidR="00AD48E2" w:rsidRPr="00534F3B" w:rsidRDefault="00AD48E2" w:rsidP="00F76C47">
            <w:pPr>
              <w:spacing w:before="40" w:after="40"/>
              <w:rPr>
                <w:sz w:val="20"/>
                <w:szCs w:val="20"/>
              </w:rPr>
            </w:pPr>
            <w:r w:rsidRPr="00534F3B">
              <w:rPr>
                <w:sz w:val="20"/>
                <w:szCs w:val="20"/>
              </w:rPr>
              <w:t>SOFIX</w:t>
            </w:r>
          </w:p>
        </w:tc>
        <w:tc>
          <w:tcPr>
            <w:tcW w:w="4009" w:type="dxa"/>
          </w:tcPr>
          <w:p w:rsidR="00AD48E2" w:rsidRPr="00534F3B" w:rsidRDefault="00AD48E2" w:rsidP="00F76C47">
            <w:pPr>
              <w:spacing w:before="40" w:after="40"/>
              <w:rPr>
                <w:sz w:val="20"/>
                <w:szCs w:val="20"/>
              </w:rPr>
            </w:pPr>
            <w:r w:rsidRPr="00534F3B">
              <w:rPr>
                <w:sz w:val="20"/>
                <w:szCs w:val="20"/>
              </w:rPr>
              <w:t>Софарма АД – София</w:t>
            </w:r>
          </w:p>
        </w:tc>
        <w:tc>
          <w:tcPr>
            <w:tcW w:w="4019" w:type="dxa"/>
          </w:tcPr>
          <w:p w:rsidR="00AD48E2" w:rsidRPr="00534F3B" w:rsidRDefault="00AD48E2" w:rsidP="00F76C47">
            <w:pPr>
              <w:spacing w:before="40" w:after="40"/>
              <w:rPr>
                <w:sz w:val="20"/>
                <w:szCs w:val="20"/>
              </w:rPr>
            </w:pPr>
            <w:r w:rsidRPr="00534F3B">
              <w:rPr>
                <w:sz w:val="20"/>
                <w:szCs w:val="20"/>
              </w:rPr>
              <w:t>Доверие Обединен Холдинг АД – София</w:t>
            </w:r>
          </w:p>
        </w:tc>
      </w:tr>
      <w:tr w:rsidR="00AD48E2" w:rsidRPr="00534F3B" w:rsidTr="00F76C47">
        <w:trPr>
          <w:trHeight w:val="20"/>
          <w:jc w:val="center"/>
        </w:trPr>
        <w:tc>
          <w:tcPr>
            <w:tcW w:w="1441" w:type="dxa"/>
          </w:tcPr>
          <w:p w:rsidR="00AD48E2" w:rsidRPr="00534F3B" w:rsidRDefault="00AD48E2" w:rsidP="00F76C47">
            <w:pPr>
              <w:spacing w:before="40" w:after="40"/>
              <w:rPr>
                <w:sz w:val="20"/>
                <w:szCs w:val="20"/>
              </w:rPr>
            </w:pPr>
            <w:r w:rsidRPr="00534F3B">
              <w:rPr>
                <w:sz w:val="20"/>
                <w:szCs w:val="20"/>
              </w:rPr>
              <w:t>BGBX40</w:t>
            </w:r>
          </w:p>
        </w:tc>
        <w:tc>
          <w:tcPr>
            <w:tcW w:w="4009" w:type="dxa"/>
          </w:tcPr>
          <w:p w:rsidR="00AD48E2" w:rsidRPr="00534F3B" w:rsidRDefault="00AD48E2" w:rsidP="00F76C47">
            <w:pPr>
              <w:spacing w:before="40" w:after="40"/>
              <w:rPr>
                <w:sz w:val="20"/>
                <w:szCs w:val="20"/>
              </w:rPr>
            </w:pPr>
            <w:r w:rsidRPr="00534F3B">
              <w:rPr>
                <w:sz w:val="20"/>
                <w:szCs w:val="20"/>
              </w:rPr>
              <w:t>Софарма АД – София</w:t>
            </w:r>
          </w:p>
        </w:tc>
        <w:tc>
          <w:tcPr>
            <w:tcW w:w="4019" w:type="dxa"/>
          </w:tcPr>
          <w:p w:rsidR="00AD48E2" w:rsidRPr="00534F3B" w:rsidRDefault="00AD48E2" w:rsidP="00F76C47">
            <w:pPr>
              <w:pStyle w:val="ListParagraph"/>
              <w:spacing w:before="40" w:after="40"/>
              <w:ind w:left="0"/>
              <w:contextualSpacing w:val="0"/>
              <w:rPr>
                <w:sz w:val="20"/>
                <w:szCs w:val="20"/>
                <w:lang w:val="bg-BG"/>
              </w:rPr>
            </w:pPr>
            <w:r w:rsidRPr="00534F3B">
              <w:rPr>
                <w:sz w:val="20"/>
                <w:szCs w:val="20"/>
                <w:lang w:val="bg-BG"/>
              </w:rPr>
              <w:t>Спарки Елтос АД – Ловеч</w:t>
            </w:r>
          </w:p>
        </w:tc>
      </w:tr>
      <w:tr w:rsidR="00AD48E2" w:rsidRPr="00534F3B" w:rsidTr="00F76C47">
        <w:trPr>
          <w:trHeight w:val="20"/>
          <w:jc w:val="center"/>
        </w:trPr>
        <w:tc>
          <w:tcPr>
            <w:tcW w:w="1441" w:type="dxa"/>
          </w:tcPr>
          <w:p w:rsidR="00AD48E2" w:rsidRPr="00534F3B" w:rsidRDefault="00AD48E2" w:rsidP="00F76C47">
            <w:pPr>
              <w:spacing w:before="40" w:after="40"/>
              <w:rPr>
                <w:sz w:val="20"/>
                <w:szCs w:val="20"/>
              </w:rPr>
            </w:pPr>
            <w:r w:rsidRPr="00534F3B">
              <w:rPr>
                <w:sz w:val="20"/>
                <w:szCs w:val="20"/>
              </w:rPr>
              <w:t>BGTR30</w:t>
            </w:r>
          </w:p>
        </w:tc>
        <w:tc>
          <w:tcPr>
            <w:tcW w:w="4009" w:type="dxa"/>
          </w:tcPr>
          <w:p w:rsidR="00AD48E2" w:rsidRPr="00534F3B" w:rsidRDefault="00AD48E2" w:rsidP="00F76C47">
            <w:pPr>
              <w:spacing w:before="40" w:after="40"/>
              <w:rPr>
                <w:sz w:val="20"/>
                <w:szCs w:val="20"/>
              </w:rPr>
            </w:pPr>
            <w:r w:rsidRPr="00534F3B">
              <w:rPr>
                <w:sz w:val="20"/>
                <w:szCs w:val="20"/>
              </w:rPr>
              <w:t>ТБ Първа Инвестиционна Банка АД – София</w:t>
            </w:r>
          </w:p>
        </w:tc>
        <w:tc>
          <w:tcPr>
            <w:tcW w:w="4019" w:type="dxa"/>
          </w:tcPr>
          <w:p w:rsidR="00AD48E2" w:rsidRPr="00534F3B" w:rsidRDefault="00AD48E2" w:rsidP="00F76C47">
            <w:pPr>
              <w:spacing w:before="40" w:after="40"/>
              <w:rPr>
                <w:sz w:val="20"/>
                <w:szCs w:val="20"/>
              </w:rPr>
            </w:pPr>
            <w:r w:rsidRPr="00534F3B">
              <w:rPr>
                <w:sz w:val="20"/>
                <w:szCs w:val="20"/>
              </w:rPr>
              <w:t>Елана Агрокредит АД – София</w:t>
            </w:r>
          </w:p>
        </w:tc>
      </w:tr>
      <w:tr w:rsidR="00AD48E2" w:rsidRPr="00534F3B" w:rsidTr="00F76C47">
        <w:trPr>
          <w:trHeight w:val="20"/>
          <w:jc w:val="center"/>
        </w:trPr>
        <w:tc>
          <w:tcPr>
            <w:tcW w:w="1441" w:type="dxa"/>
          </w:tcPr>
          <w:p w:rsidR="00AD48E2" w:rsidRPr="00534F3B" w:rsidRDefault="00AD48E2" w:rsidP="00F76C47">
            <w:pPr>
              <w:spacing w:before="40" w:after="40"/>
              <w:rPr>
                <w:sz w:val="20"/>
                <w:szCs w:val="20"/>
              </w:rPr>
            </w:pPr>
            <w:r w:rsidRPr="00534F3B">
              <w:rPr>
                <w:sz w:val="20"/>
                <w:szCs w:val="20"/>
              </w:rPr>
              <w:t>BGRATE</w:t>
            </w:r>
          </w:p>
        </w:tc>
        <w:tc>
          <w:tcPr>
            <w:tcW w:w="4009" w:type="dxa"/>
          </w:tcPr>
          <w:p w:rsidR="00AD48E2" w:rsidRPr="00534F3B" w:rsidRDefault="00AD48E2" w:rsidP="00F76C47">
            <w:pPr>
              <w:spacing w:before="40" w:after="40"/>
              <w:rPr>
                <w:sz w:val="20"/>
                <w:szCs w:val="20"/>
              </w:rPr>
            </w:pPr>
            <w:r w:rsidRPr="00534F3B">
              <w:rPr>
                <w:sz w:val="20"/>
                <w:szCs w:val="20"/>
              </w:rPr>
              <w:t>Булленд инвестмънтс АДСИЦ – София</w:t>
            </w:r>
          </w:p>
        </w:tc>
        <w:tc>
          <w:tcPr>
            <w:tcW w:w="4019" w:type="dxa"/>
          </w:tcPr>
          <w:p w:rsidR="00AD48E2" w:rsidRPr="00534F3B" w:rsidRDefault="00AD48E2" w:rsidP="00F76C47">
            <w:pPr>
              <w:spacing w:before="40" w:after="40"/>
              <w:rPr>
                <w:sz w:val="20"/>
                <w:szCs w:val="20"/>
              </w:rPr>
            </w:pPr>
            <w:r w:rsidRPr="00534F3B">
              <w:rPr>
                <w:sz w:val="20"/>
                <w:szCs w:val="20"/>
              </w:rPr>
              <w:t>Болкан енд Сий Пропъртис АДСИЦ – Варна</w:t>
            </w:r>
          </w:p>
        </w:tc>
      </w:tr>
    </w:tbl>
    <w:p w:rsidR="00AD48E2" w:rsidRPr="00534F3B" w:rsidRDefault="00AD48E2" w:rsidP="00AD48E2">
      <w:pPr>
        <w:pStyle w:val="FIG"/>
        <w:pageBreakBefore/>
        <w:spacing w:before="0"/>
      </w:pPr>
      <w:r w:rsidRPr="00534F3B">
        <w:lastRenderedPageBreak/>
        <w:t>Таблица 2. Пазарна капитализация към последния търговски ден</w:t>
      </w:r>
    </w:p>
    <w:tbl>
      <w:tblPr>
        <w:tblStyle w:val="TableGrid"/>
        <w:tblW w:w="9469" w:type="dxa"/>
        <w:jc w:val="center"/>
        <w:tblCellMar>
          <w:left w:w="57" w:type="dxa"/>
          <w:right w:w="57" w:type="dxa"/>
        </w:tblCellMar>
        <w:tblLook w:val="04A0" w:firstRow="1" w:lastRow="0" w:firstColumn="1" w:lastColumn="0" w:noHBand="0" w:noVBand="1"/>
      </w:tblPr>
      <w:tblGrid>
        <w:gridCol w:w="2941"/>
        <w:gridCol w:w="2392"/>
        <w:gridCol w:w="1843"/>
        <w:gridCol w:w="2293"/>
      </w:tblGrid>
      <w:tr w:rsidR="00AD48E2" w:rsidRPr="00534F3B" w:rsidTr="00F76C47">
        <w:trPr>
          <w:trHeight w:val="20"/>
          <w:jc w:val="center"/>
        </w:trPr>
        <w:tc>
          <w:tcPr>
            <w:tcW w:w="2941" w:type="dxa"/>
          </w:tcPr>
          <w:p w:rsidR="00AD48E2" w:rsidRPr="00534F3B" w:rsidRDefault="00AD48E2" w:rsidP="00F76C47">
            <w:pPr>
              <w:spacing w:before="40" w:after="40"/>
              <w:jc w:val="center"/>
              <w:rPr>
                <w:sz w:val="20"/>
                <w:szCs w:val="20"/>
              </w:rPr>
            </w:pPr>
            <w:r w:rsidRPr="00534F3B">
              <w:rPr>
                <w:sz w:val="20"/>
                <w:szCs w:val="20"/>
              </w:rPr>
              <w:t>Дружество</w:t>
            </w:r>
          </w:p>
        </w:tc>
        <w:tc>
          <w:tcPr>
            <w:tcW w:w="2392" w:type="dxa"/>
          </w:tcPr>
          <w:p w:rsidR="00AD48E2" w:rsidRPr="00534F3B" w:rsidRDefault="00AD48E2" w:rsidP="00F76C47">
            <w:pPr>
              <w:spacing w:before="40" w:after="40"/>
              <w:jc w:val="center"/>
              <w:rPr>
                <w:sz w:val="20"/>
                <w:szCs w:val="20"/>
              </w:rPr>
            </w:pPr>
            <w:r w:rsidRPr="00534F3B">
              <w:rPr>
                <w:sz w:val="20"/>
                <w:szCs w:val="20"/>
              </w:rPr>
              <w:t>Последен търговски ден</w:t>
            </w:r>
          </w:p>
        </w:tc>
        <w:tc>
          <w:tcPr>
            <w:tcW w:w="1843" w:type="dxa"/>
          </w:tcPr>
          <w:p w:rsidR="00AD48E2" w:rsidRPr="00534F3B" w:rsidRDefault="00AD48E2" w:rsidP="00F76C47">
            <w:pPr>
              <w:spacing w:before="40" w:after="40"/>
              <w:jc w:val="center"/>
              <w:rPr>
                <w:b/>
                <w:sz w:val="20"/>
                <w:szCs w:val="20"/>
              </w:rPr>
            </w:pPr>
            <w:r w:rsidRPr="00534F3B">
              <w:rPr>
                <w:sz w:val="20"/>
                <w:szCs w:val="20"/>
              </w:rPr>
              <w:t>Борсова цена</w:t>
            </w:r>
          </w:p>
        </w:tc>
        <w:tc>
          <w:tcPr>
            <w:tcW w:w="2293" w:type="dxa"/>
          </w:tcPr>
          <w:p w:rsidR="00AD48E2" w:rsidRPr="00534F3B" w:rsidRDefault="00AD48E2" w:rsidP="00F76C47">
            <w:pPr>
              <w:spacing w:before="40" w:after="40"/>
              <w:jc w:val="center"/>
              <w:rPr>
                <w:b/>
                <w:sz w:val="20"/>
                <w:szCs w:val="20"/>
              </w:rPr>
            </w:pPr>
            <w:r w:rsidRPr="00534F3B">
              <w:rPr>
                <w:sz w:val="20"/>
                <w:szCs w:val="20"/>
              </w:rPr>
              <w:t>Пазарна капита</w:t>
            </w:r>
            <w:r w:rsidRPr="00534F3B">
              <w:rPr>
                <w:sz w:val="20"/>
                <w:szCs w:val="20"/>
              </w:rPr>
              <w:softHyphen/>
              <w:t>лизация</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Софарма</w:t>
            </w:r>
          </w:p>
        </w:tc>
        <w:tc>
          <w:tcPr>
            <w:tcW w:w="2392" w:type="dxa"/>
          </w:tcPr>
          <w:p w:rsidR="00AD48E2" w:rsidRPr="00534F3B" w:rsidRDefault="00AD48E2" w:rsidP="00F76C47">
            <w:pPr>
              <w:spacing w:before="40" w:after="40"/>
              <w:jc w:val="center"/>
              <w:rPr>
                <w:sz w:val="20"/>
                <w:szCs w:val="20"/>
              </w:rPr>
            </w:pPr>
            <w:r w:rsidRPr="00534F3B">
              <w:rPr>
                <w:sz w:val="20"/>
                <w:szCs w:val="20"/>
              </w:rPr>
              <w:t>22.12.17</w:t>
            </w:r>
          </w:p>
        </w:tc>
        <w:tc>
          <w:tcPr>
            <w:tcW w:w="1843" w:type="dxa"/>
          </w:tcPr>
          <w:p w:rsidR="00AD48E2" w:rsidRPr="00534F3B" w:rsidRDefault="00AD48E2" w:rsidP="00F76C47">
            <w:pPr>
              <w:spacing w:before="40" w:after="40"/>
              <w:jc w:val="center"/>
              <w:rPr>
                <w:sz w:val="20"/>
                <w:szCs w:val="20"/>
              </w:rPr>
            </w:pPr>
            <w:r w:rsidRPr="00534F3B">
              <w:rPr>
                <w:sz w:val="20"/>
                <w:szCs w:val="20"/>
              </w:rPr>
              <w:t>4,283</w:t>
            </w:r>
          </w:p>
        </w:tc>
        <w:tc>
          <w:tcPr>
            <w:tcW w:w="2293" w:type="dxa"/>
          </w:tcPr>
          <w:p w:rsidR="00AD48E2" w:rsidRPr="00534F3B" w:rsidRDefault="00AD48E2" w:rsidP="00F76C47">
            <w:pPr>
              <w:spacing w:before="40" w:after="40"/>
              <w:jc w:val="center"/>
              <w:rPr>
                <w:sz w:val="20"/>
                <w:szCs w:val="20"/>
              </w:rPr>
            </w:pPr>
            <w:r w:rsidRPr="00534F3B">
              <w:rPr>
                <w:sz w:val="20"/>
                <w:szCs w:val="20"/>
              </w:rPr>
              <w:t>577.339.401</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2392" w:type="dxa"/>
          </w:tcPr>
          <w:p w:rsidR="00AD48E2" w:rsidRPr="00534F3B" w:rsidRDefault="00AD48E2" w:rsidP="00F76C47">
            <w:pPr>
              <w:spacing w:before="40" w:after="40"/>
              <w:jc w:val="center"/>
              <w:rPr>
                <w:sz w:val="20"/>
                <w:szCs w:val="20"/>
              </w:rPr>
            </w:pPr>
            <w:r w:rsidRPr="00534F3B">
              <w:rPr>
                <w:sz w:val="20"/>
                <w:szCs w:val="20"/>
              </w:rPr>
              <w:t>22.12.17</w:t>
            </w:r>
          </w:p>
        </w:tc>
        <w:tc>
          <w:tcPr>
            <w:tcW w:w="1843" w:type="dxa"/>
          </w:tcPr>
          <w:p w:rsidR="00AD48E2" w:rsidRPr="00534F3B" w:rsidRDefault="00AD48E2" w:rsidP="00F76C47">
            <w:pPr>
              <w:spacing w:before="40" w:after="40"/>
              <w:jc w:val="center"/>
              <w:rPr>
                <w:sz w:val="20"/>
                <w:szCs w:val="20"/>
              </w:rPr>
            </w:pPr>
            <w:r w:rsidRPr="00534F3B">
              <w:rPr>
                <w:sz w:val="20"/>
                <w:szCs w:val="20"/>
              </w:rPr>
              <w:t>2,081</w:t>
            </w:r>
          </w:p>
        </w:tc>
        <w:tc>
          <w:tcPr>
            <w:tcW w:w="2293" w:type="dxa"/>
          </w:tcPr>
          <w:p w:rsidR="00AD48E2" w:rsidRPr="00534F3B" w:rsidRDefault="00AD48E2" w:rsidP="00F76C47">
            <w:pPr>
              <w:spacing w:before="40" w:after="40"/>
              <w:jc w:val="center"/>
              <w:rPr>
                <w:sz w:val="20"/>
                <w:szCs w:val="20"/>
              </w:rPr>
            </w:pPr>
            <w:r w:rsidRPr="00534F3B">
              <w:rPr>
                <w:sz w:val="20"/>
                <w:szCs w:val="20"/>
              </w:rPr>
              <w:t>38.989.822</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Спарки Елтос</w:t>
            </w:r>
          </w:p>
        </w:tc>
        <w:tc>
          <w:tcPr>
            <w:tcW w:w="2392" w:type="dxa"/>
          </w:tcPr>
          <w:p w:rsidR="00AD48E2" w:rsidRPr="00534F3B" w:rsidRDefault="00AD48E2" w:rsidP="00F76C47">
            <w:pPr>
              <w:spacing w:before="40" w:after="40"/>
              <w:jc w:val="center"/>
              <w:rPr>
                <w:sz w:val="20"/>
                <w:szCs w:val="20"/>
              </w:rPr>
            </w:pPr>
            <w:r w:rsidRPr="00534F3B">
              <w:rPr>
                <w:sz w:val="20"/>
                <w:szCs w:val="20"/>
              </w:rPr>
              <w:t>12.12.17</w:t>
            </w:r>
          </w:p>
        </w:tc>
        <w:tc>
          <w:tcPr>
            <w:tcW w:w="1843" w:type="dxa"/>
          </w:tcPr>
          <w:p w:rsidR="00AD48E2" w:rsidRPr="00534F3B" w:rsidRDefault="00AD48E2" w:rsidP="00F76C47">
            <w:pPr>
              <w:spacing w:before="40" w:after="40"/>
              <w:jc w:val="center"/>
              <w:rPr>
                <w:sz w:val="20"/>
                <w:szCs w:val="20"/>
              </w:rPr>
            </w:pPr>
            <w:r w:rsidRPr="00534F3B">
              <w:rPr>
                <w:sz w:val="20"/>
                <w:szCs w:val="20"/>
              </w:rPr>
              <w:t>0,270</w:t>
            </w:r>
          </w:p>
        </w:tc>
        <w:tc>
          <w:tcPr>
            <w:tcW w:w="2293" w:type="dxa"/>
          </w:tcPr>
          <w:p w:rsidR="00AD48E2" w:rsidRPr="00534F3B" w:rsidRDefault="00AD48E2" w:rsidP="00F76C47">
            <w:pPr>
              <w:spacing w:before="40" w:after="40"/>
              <w:jc w:val="center"/>
              <w:rPr>
                <w:sz w:val="20"/>
                <w:szCs w:val="20"/>
              </w:rPr>
            </w:pPr>
            <w:r w:rsidRPr="00534F3B">
              <w:rPr>
                <w:sz w:val="20"/>
                <w:szCs w:val="20"/>
              </w:rPr>
              <w:t>4.518.536</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Първа Инвести</w:t>
            </w:r>
            <w:r w:rsidRPr="00534F3B">
              <w:rPr>
                <w:sz w:val="20"/>
                <w:szCs w:val="20"/>
              </w:rPr>
              <w:softHyphen/>
            </w:r>
            <w:r w:rsidRPr="00534F3B">
              <w:rPr>
                <w:sz w:val="20"/>
                <w:szCs w:val="20"/>
              </w:rPr>
              <w:softHyphen/>
              <w:t>ци</w:t>
            </w:r>
            <w:r w:rsidRPr="00534F3B">
              <w:rPr>
                <w:sz w:val="20"/>
                <w:szCs w:val="20"/>
              </w:rPr>
              <w:softHyphen/>
              <w:t>онна Банка</w:t>
            </w:r>
          </w:p>
        </w:tc>
        <w:tc>
          <w:tcPr>
            <w:tcW w:w="2392" w:type="dxa"/>
          </w:tcPr>
          <w:p w:rsidR="00AD48E2" w:rsidRPr="00534F3B" w:rsidRDefault="00AD48E2" w:rsidP="00F76C47">
            <w:pPr>
              <w:spacing w:before="40" w:after="40"/>
              <w:jc w:val="center"/>
              <w:rPr>
                <w:sz w:val="20"/>
                <w:szCs w:val="20"/>
              </w:rPr>
            </w:pPr>
            <w:r w:rsidRPr="00534F3B">
              <w:rPr>
                <w:sz w:val="20"/>
                <w:szCs w:val="20"/>
              </w:rPr>
              <w:t>22.12.17</w:t>
            </w:r>
          </w:p>
        </w:tc>
        <w:tc>
          <w:tcPr>
            <w:tcW w:w="1843" w:type="dxa"/>
          </w:tcPr>
          <w:p w:rsidR="00AD48E2" w:rsidRPr="00534F3B" w:rsidRDefault="00AD48E2" w:rsidP="00F76C47">
            <w:pPr>
              <w:spacing w:before="40" w:after="40"/>
              <w:jc w:val="center"/>
              <w:rPr>
                <w:sz w:val="20"/>
                <w:szCs w:val="20"/>
              </w:rPr>
            </w:pPr>
            <w:r w:rsidRPr="00534F3B">
              <w:rPr>
                <w:sz w:val="20"/>
                <w:szCs w:val="20"/>
              </w:rPr>
              <w:t>5,45</w:t>
            </w:r>
          </w:p>
        </w:tc>
        <w:tc>
          <w:tcPr>
            <w:tcW w:w="2293" w:type="dxa"/>
          </w:tcPr>
          <w:p w:rsidR="00AD48E2" w:rsidRPr="00534F3B" w:rsidRDefault="00AD48E2" w:rsidP="00F76C47">
            <w:pPr>
              <w:spacing w:before="40" w:after="40"/>
              <w:jc w:val="center"/>
              <w:rPr>
                <w:sz w:val="20"/>
                <w:szCs w:val="20"/>
              </w:rPr>
            </w:pPr>
            <w:r w:rsidRPr="00534F3B">
              <w:rPr>
                <w:sz w:val="20"/>
                <w:szCs w:val="20"/>
              </w:rPr>
              <w:t>599.500.000</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Елана Агрокредит</w:t>
            </w:r>
          </w:p>
        </w:tc>
        <w:tc>
          <w:tcPr>
            <w:tcW w:w="2392" w:type="dxa"/>
          </w:tcPr>
          <w:p w:rsidR="00AD48E2" w:rsidRPr="00534F3B" w:rsidRDefault="00AD48E2" w:rsidP="00F76C47">
            <w:pPr>
              <w:spacing w:before="40" w:after="40"/>
              <w:jc w:val="center"/>
              <w:rPr>
                <w:sz w:val="20"/>
                <w:szCs w:val="20"/>
              </w:rPr>
            </w:pPr>
            <w:r w:rsidRPr="00534F3B">
              <w:rPr>
                <w:sz w:val="20"/>
                <w:szCs w:val="20"/>
              </w:rPr>
              <w:t>22.12.17</w:t>
            </w:r>
          </w:p>
        </w:tc>
        <w:tc>
          <w:tcPr>
            <w:tcW w:w="1843" w:type="dxa"/>
          </w:tcPr>
          <w:p w:rsidR="00AD48E2" w:rsidRPr="00534F3B" w:rsidRDefault="00AD48E2" w:rsidP="00F76C47">
            <w:pPr>
              <w:spacing w:before="40" w:after="40"/>
              <w:jc w:val="center"/>
              <w:rPr>
                <w:sz w:val="20"/>
                <w:szCs w:val="20"/>
              </w:rPr>
            </w:pPr>
            <w:r w:rsidRPr="00534F3B">
              <w:rPr>
                <w:sz w:val="20"/>
                <w:szCs w:val="20"/>
              </w:rPr>
              <w:t>1,33</w:t>
            </w:r>
          </w:p>
        </w:tc>
        <w:tc>
          <w:tcPr>
            <w:tcW w:w="2293" w:type="dxa"/>
          </w:tcPr>
          <w:p w:rsidR="00AD48E2" w:rsidRPr="00534F3B" w:rsidRDefault="00AD48E2" w:rsidP="00F76C47">
            <w:pPr>
              <w:spacing w:before="40" w:after="40"/>
              <w:jc w:val="center"/>
              <w:rPr>
                <w:sz w:val="20"/>
                <w:szCs w:val="20"/>
              </w:rPr>
            </w:pPr>
            <w:r w:rsidRPr="00534F3B">
              <w:rPr>
                <w:sz w:val="20"/>
                <w:szCs w:val="20"/>
              </w:rPr>
              <w:t>25.140.195</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2392" w:type="dxa"/>
          </w:tcPr>
          <w:p w:rsidR="00AD48E2" w:rsidRPr="00534F3B" w:rsidRDefault="00AD48E2" w:rsidP="00F76C47">
            <w:pPr>
              <w:spacing w:before="40" w:after="40"/>
              <w:jc w:val="center"/>
              <w:rPr>
                <w:sz w:val="20"/>
                <w:szCs w:val="20"/>
              </w:rPr>
            </w:pPr>
            <w:r w:rsidRPr="00534F3B">
              <w:rPr>
                <w:sz w:val="20"/>
                <w:szCs w:val="20"/>
              </w:rPr>
              <w:t>22.12.17</w:t>
            </w:r>
          </w:p>
        </w:tc>
        <w:tc>
          <w:tcPr>
            <w:tcW w:w="1843" w:type="dxa"/>
          </w:tcPr>
          <w:p w:rsidR="00AD48E2" w:rsidRPr="00534F3B" w:rsidRDefault="00AD48E2" w:rsidP="00F76C47">
            <w:pPr>
              <w:spacing w:before="40" w:after="40"/>
              <w:jc w:val="center"/>
              <w:rPr>
                <w:sz w:val="20"/>
                <w:szCs w:val="20"/>
              </w:rPr>
            </w:pPr>
            <w:r w:rsidRPr="00534F3B">
              <w:rPr>
                <w:sz w:val="20"/>
                <w:szCs w:val="20"/>
              </w:rPr>
              <w:t>0,890</w:t>
            </w:r>
          </w:p>
        </w:tc>
        <w:tc>
          <w:tcPr>
            <w:tcW w:w="2293" w:type="dxa"/>
          </w:tcPr>
          <w:p w:rsidR="00AD48E2" w:rsidRPr="00534F3B" w:rsidRDefault="00AD48E2" w:rsidP="00F76C47">
            <w:pPr>
              <w:spacing w:before="40" w:after="40"/>
              <w:jc w:val="center"/>
              <w:rPr>
                <w:sz w:val="20"/>
                <w:szCs w:val="20"/>
              </w:rPr>
            </w:pPr>
            <w:r w:rsidRPr="00534F3B">
              <w:rPr>
                <w:sz w:val="20"/>
                <w:szCs w:val="20"/>
              </w:rPr>
              <w:t>11.585.921</w:t>
            </w:r>
          </w:p>
        </w:tc>
      </w:tr>
      <w:tr w:rsidR="00AD48E2" w:rsidRPr="00534F3B" w:rsidTr="00F76C47">
        <w:trPr>
          <w:trHeight w:val="20"/>
          <w:jc w:val="center"/>
        </w:trPr>
        <w:tc>
          <w:tcPr>
            <w:tcW w:w="2941"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2392" w:type="dxa"/>
          </w:tcPr>
          <w:p w:rsidR="00AD48E2" w:rsidRPr="00534F3B" w:rsidRDefault="00AD48E2" w:rsidP="00F76C47">
            <w:pPr>
              <w:spacing w:before="40" w:after="40"/>
              <w:jc w:val="center"/>
              <w:rPr>
                <w:sz w:val="20"/>
                <w:szCs w:val="20"/>
              </w:rPr>
            </w:pPr>
            <w:r w:rsidRPr="00534F3B">
              <w:rPr>
                <w:sz w:val="20"/>
                <w:szCs w:val="20"/>
              </w:rPr>
              <w:t>21.12.17</w:t>
            </w:r>
          </w:p>
        </w:tc>
        <w:tc>
          <w:tcPr>
            <w:tcW w:w="1843" w:type="dxa"/>
          </w:tcPr>
          <w:p w:rsidR="00AD48E2" w:rsidRPr="00534F3B" w:rsidRDefault="00AD48E2" w:rsidP="00F76C47">
            <w:pPr>
              <w:spacing w:before="40" w:after="40"/>
              <w:jc w:val="center"/>
              <w:rPr>
                <w:sz w:val="20"/>
                <w:szCs w:val="20"/>
              </w:rPr>
            </w:pPr>
            <w:r w:rsidRPr="00534F3B">
              <w:rPr>
                <w:sz w:val="20"/>
                <w:szCs w:val="20"/>
              </w:rPr>
              <w:t>14,500</w:t>
            </w:r>
          </w:p>
        </w:tc>
        <w:tc>
          <w:tcPr>
            <w:tcW w:w="2293" w:type="dxa"/>
          </w:tcPr>
          <w:p w:rsidR="00AD48E2" w:rsidRPr="00534F3B" w:rsidRDefault="00AD48E2" w:rsidP="00F76C47">
            <w:pPr>
              <w:spacing w:before="40" w:after="40"/>
              <w:jc w:val="center"/>
              <w:rPr>
                <w:sz w:val="20"/>
                <w:szCs w:val="20"/>
              </w:rPr>
            </w:pPr>
            <w:r w:rsidRPr="00534F3B">
              <w:rPr>
                <w:sz w:val="20"/>
                <w:szCs w:val="20"/>
              </w:rPr>
              <w:t>9.425.000</w:t>
            </w:r>
          </w:p>
        </w:tc>
      </w:tr>
    </w:tbl>
    <w:p w:rsidR="00AD48E2" w:rsidRPr="0062393D" w:rsidRDefault="00AD48E2" w:rsidP="00AD48E2">
      <w:pPr>
        <w:pStyle w:val="FIGIZTOCHNIK"/>
        <w:rPr>
          <w:lang w:val="ru-RU"/>
        </w:rPr>
      </w:pPr>
      <w:r w:rsidRPr="0062393D">
        <w:rPr>
          <w:lang w:val="ru-RU"/>
        </w:rPr>
        <w:t xml:space="preserve">Източник: Официален сайт на Българска Фондова Борса </w:t>
      </w:r>
      <w:r w:rsidRPr="00534F3B">
        <w:rPr>
          <w:rStyle w:val="FootnoteReference"/>
          <w:i w:val="0"/>
          <w:sz w:val="22"/>
        </w:rPr>
        <w:footnoteReference w:id="7"/>
      </w:r>
    </w:p>
    <w:p w:rsidR="00AD48E2" w:rsidRPr="00534F3B" w:rsidRDefault="00AD48E2" w:rsidP="00AD48E2">
      <w:pPr>
        <w:spacing w:line="300" w:lineRule="exact"/>
        <w:ind w:firstLine="284"/>
        <w:jc w:val="both"/>
        <w:rPr>
          <w:sz w:val="22"/>
          <w:szCs w:val="22"/>
        </w:rPr>
      </w:pPr>
    </w:p>
    <w:p w:rsidR="00AD48E2" w:rsidRPr="00534F3B" w:rsidRDefault="00AD48E2" w:rsidP="00AD48E2">
      <w:pPr>
        <w:spacing w:line="300" w:lineRule="exact"/>
        <w:ind w:firstLine="284"/>
        <w:jc w:val="both"/>
        <w:rPr>
          <w:sz w:val="22"/>
          <w:szCs w:val="22"/>
        </w:rPr>
      </w:pPr>
      <w:r w:rsidRPr="00534F3B">
        <w:rPr>
          <w:sz w:val="22"/>
          <w:szCs w:val="22"/>
        </w:rPr>
        <w:t>Предвид обхвата на извадките на SOFIX и BGBX40, а именно това, че 15-те дружества от SOFIX участват изцяло и в състава BGBX40, то разбираемо Софарма АД-София е лидер по пазарна капитализация и за двата индекса. За избягване на излишно повторение в изследването по отделн</w:t>
      </w:r>
      <w:r w:rsidRPr="00534F3B">
        <w:rPr>
          <w:sz w:val="22"/>
          <w:szCs w:val="22"/>
        </w:rPr>
        <w:t>и</w:t>
      </w:r>
      <w:r w:rsidRPr="00534F3B">
        <w:rPr>
          <w:sz w:val="22"/>
          <w:szCs w:val="22"/>
        </w:rPr>
        <w:t>те показатели за BGBX40 ще отразяваме само дружеството с най-малка борсова стойност Спарки Елтос АД – Ловеч.</w:t>
      </w:r>
    </w:p>
    <w:p w:rsidR="00AD48E2" w:rsidRPr="00534F3B" w:rsidRDefault="00AD48E2" w:rsidP="00AD48E2">
      <w:pPr>
        <w:spacing w:line="300" w:lineRule="exact"/>
        <w:ind w:firstLine="284"/>
        <w:jc w:val="both"/>
        <w:rPr>
          <w:sz w:val="22"/>
          <w:szCs w:val="22"/>
        </w:rPr>
      </w:pPr>
      <w:r w:rsidRPr="00534F3B">
        <w:rPr>
          <w:sz w:val="22"/>
          <w:szCs w:val="22"/>
        </w:rPr>
        <w:t>За анализа на пазарната ликвидност за всяко от дружествата са ползвани ежедневни котировки, с цени на затваряне за 16 месеца – в периода от 22 август 2016 г. до 22 декември 2017 г. Последн</w:t>
      </w:r>
      <w:r w:rsidRPr="00534F3B">
        <w:rPr>
          <w:sz w:val="22"/>
          <w:szCs w:val="22"/>
        </w:rPr>
        <w:t>и</w:t>
      </w:r>
      <w:r w:rsidRPr="00534F3B">
        <w:rPr>
          <w:sz w:val="22"/>
          <w:szCs w:val="22"/>
        </w:rPr>
        <w:t>ят търговски ден за някои от дружествата е на по-ранна дата (Табл. 2.).</w:t>
      </w:r>
    </w:p>
    <w:p w:rsidR="00AD48E2" w:rsidRPr="00534F3B" w:rsidRDefault="00AD48E2" w:rsidP="00AD48E2">
      <w:pPr>
        <w:spacing w:line="300" w:lineRule="exact"/>
        <w:ind w:firstLine="284"/>
        <w:jc w:val="both"/>
        <w:rPr>
          <w:sz w:val="22"/>
          <w:szCs w:val="22"/>
        </w:rPr>
      </w:pPr>
      <w:r w:rsidRPr="00534F3B">
        <w:rPr>
          <w:sz w:val="22"/>
          <w:szCs w:val="22"/>
        </w:rPr>
        <w:t>При изследването на пазарната ликвидност на избраните дружества тук спазваме водещата л</w:t>
      </w:r>
      <w:r w:rsidRPr="00534F3B">
        <w:rPr>
          <w:sz w:val="22"/>
          <w:szCs w:val="22"/>
        </w:rPr>
        <w:t>о</w:t>
      </w:r>
      <w:r w:rsidRPr="00534F3B">
        <w:rPr>
          <w:sz w:val="22"/>
          <w:szCs w:val="22"/>
        </w:rPr>
        <w:t>гична последователност в категоризирането на измерителите – на първични индикатори и анал</w:t>
      </w:r>
      <w:r w:rsidRPr="00534F3B">
        <w:rPr>
          <w:sz w:val="22"/>
          <w:szCs w:val="22"/>
        </w:rPr>
        <w:t>и</w:t>
      </w:r>
      <w:r w:rsidRPr="00534F3B">
        <w:rPr>
          <w:sz w:val="22"/>
          <w:szCs w:val="22"/>
        </w:rPr>
        <w:t>тични показатели, като за поредността на съответните измерители във всяка от тези групи сме в</w:t>
      </w:r>
      <w:r w:rsidRPr="00534F3B">
        <w:rPr>
          <w:sz w:val="22"/>
          <w:szCs w:val="22"/>
        </w:rPr>
        <w:t>о</w:t>
      </w:r>
      <w:r w:rsidRPr="00534F3B">
        <w:rPr>
          <w:sz w:val="22"/>
          <w:szCs w:val="22"/>
        </w:rPr>
        <w:t>дени от стремежа за оценяване на тяхната информационна и аналитична значимост.</w:t>
      </w:r>
    </w:p>
    <w:p w:rsidR="00AD48E2" w:rsidRPr="00534F3B" w:rsidRDefault="00AD48E2" w:rsidP="00AD48E2">
      <w:pPr>
        <w:spacing w:line="300" w:lineRule="exact"/>
        <w:ind w:firstLine="284"/>
        <w:jc w:val="both"/>
        <w:rPr>
          <w:sz w:val="22"/>
          <w:szCs w:val="22"/>
        </w:rPr>
      </w:pPr>
    </w:p>
    <w:p w:rsidR="00AD48E2" w:rsidRPr="00534F3B" w:rsidRDefault="00AD48E2" w:rsidP="00AD48E2">
      <w:pPr>
        <w:pStyle w:val="Heading3"/>
      </w:pPr>
      <w:r w:rsidRPr="00534F3B">
        <w:t>2. Първични индикатори за пазарна ликвидност на дружествата</w:t>
      </w:r>
    </w:p>
    <w:p w:rsidR="00AD48E2" w:rsidRPr="00534F3B" w:rsidRDefault="00AD48E2" w:rsidP="00AD48E2">
      <w:pPr>
        <w:spacing w:line="300" w:lineRule="exact"/>
        <w:ind w:firstLine="284"/>
        <w:jc w:val="both"/>
        <w:rPr>
          <w:i/>
          <w:sz w:val="22"/>
          <w:szCs w:val="22"/>
        </w:rPr>
      </w:pPr>
      <w:r w:rsidRPr="00534F3B">
        <w:rPr>
          <w:sz w:val="22"/>
          <w:szCs w:val="22"/>
        </w:rPr>
        <w:t>В практиката наличната информация и нормативните изисквания поставят акцент главно върху пазарната капитализация и фрий-флоута. Приемаме това за оправдано при нормално – т.е. активно работещи борси, което е характерно за развитите икономики. За пазари с малък мащаб и проблемна ликвидност като тази на БФБ, поставяме необходимостта от отчитане на допълнителни индикатори и показатели с по-голяма значимост в следната по-обширна последо</w:t>
      </w:r>
      <w:r w:rsidRPr="00534F3B">
        <w:rPr>
          <w:sz w:val="22"/>
          <w:szCs w:val="22"/>
        </w:rPr>
        <w:softHyphen/>
        <w:t>вателност: Брой акции; Брой акционери; Free-Float в %; Free-Float в бр. акции; Free-Float в паз. Кап.; Паз. Капитализация.</w:t>
      </w:r>
    </w:p>
    <w:p w:rsidR="00AD48E2" w:rsidRPr="00534F3B" w:rsidRDefault="00AD48E2" w:rsidP="00AD48E2">
      <w:pPr>
        <w:spacing w:line="300" w:lineRule="exact"/>
        <w:ind w:firstLine="284"/>
        <w:jc w:val="both"/>
        <w:rPr>
          <w:sz w:val="22"/>
          <w:szCs w:val="22"/>
        </w:rPr>
      </w:pPr>
      <w:r w:rsidRPr="00534F3B">
        <w:rPr>
          <w:sz w:val="22"/>
          <w:szCs w:val="22"/>
        </w:rPr>
        <w:t>Заедно с подредбата на първичните микро индикатори според тяхната информационна знач</w:t>
      </w:r>
      <w:r w:rsidRPr="00534F3B">
        <w:rPr>
          <w:sz w:val="22"/>
          <w:szCs w:val="22"/>
        </w:rPr>
        <w:t>и</w:t>
      </w:r>
      <w:r w:rsidRPr="00534F3B">
        <w:rPr>
          <w:sz w:val="22"/>
          <w:szCs w:val="22"/>
        </w:rPr>
        <w:t xml:space="preserve">мостта, тук поставяме и две категории за тяхната същност – базови и търговски. Към </w:t>
      </w:r>
      <w:r w:rsidRPr="00534F3B">
        <w:rPr>
          <w:b/>
          <w:i/>
          <w:sz w:val="22"/>
          <w:szCs w:val="22"/>
        </w:rPr>
        <w:t>базовите микро индикатори</w:t>
      </w:r>
      <w:r w:rsidRPr="00534F3B">
        <w:rPr>
          <w:sz w:val="22"/>
          <w:szCs w:val="22"/>
        </w:rPr>
        <w:t xml:space="preserve"> отнасяме главно: </w:t>
      </w:r>
      <w:r w:rsidRPr="00534F3B">
        <w:rPr>
          <w:i/>
          <w:sz w:val="22"/>
          <w:szCs w:val="22"/>
        </w:rPr>
        <w:t>броя акции и фрий-флоута,</w:t>
      </w:r>
      <w:r w:rsidRPr="00534F3B">
        <w:rPr>
          <w:sz w:val="22"/>
          <w:szCs w:val="22"/>
        </w:rPr>
        <w:t xml:space="preserve"> като за тях е характерно това, че зависят от решенията на мажоритарните собственици и корпоративния мениджмънт. Предвид това, те имат много по-статичен характер и са изразител предимно на потенциала за пазарна ликвидност и инвестиционна атрак</w:t>
      </w:r>
      <w:r w:rsidRPr="00534F3B">
        <w:rPr>
          <w:sz w:val="22"/>
          <w:szCs w:val="22"/>
        </w:rPr>
        <w:softHyphen/>
        <w:t xml:space="preserve">тивност. Към </w:t>
      </w:r>
      <w:r w:rsidRPr="00534F3B">
        <w:rPr>
          <w:b/>
          <w:i/>
          <w:sz w:val="22"/>
          <w:szCs w:val="22"/>
        </w:rPr>
        <w:t>търговските</w:t>
      </w:r>
      <w:r w:rsidRPr="00534F3B">
        <w:rPr>
          <w:sz w:val="22"/>
          <w:szCs w:val="22"/>
        </w:rPr>
        <w:t xml:space="preserve"> </w:t>
      </w:r>
      <w:r w:rsidRPr="00534F3B">
        <w:rPr>
          <w:b/>
          <w:i/>
          <w:sz w:val="22"/>
          <w:szCs w:val="22"/>
        </w:rPr>
        <w:t>микро индикатори</w:t>
      </w:r>
      <w:r w:rsidRPr="00534F3B">
        <w:rPr>
          <w:sz w:val="22"/>
          <w:szCs w:val="22"/>
        </w:rPr>
        <w:t xml:space="preserve"> отнасяме: </w:t>
      </w:r>
      <w:r w:rsidRPr="00534F3B">
        <w:rPr>
          <w:i/>
          <w:sz w:val="22"/>
          <w:szCs w:val="22"/>
        </w:rPr>
        <w:t xml:space="preserve">броя търговски дни, броя сделки, търговския обем и борсовия оборот – </w:t>
      </w:r>
      <w:r w:rsidRPr="00534F3B">
        <w:rPr>
          <w:sz w:val="22"/>
          <w:szCs w:val="22"/>
        </w:rPr>
        <w:t>те са резултат от фактическата инвести</w:t>
      </w:r>
      <w:r w:rsidRPr="00534F3B">
        <w:rPr>
          <w:sz w:val="22"/>
          <w:szCs w:val="22"/>
        </w:rPr>
        <w:softHyphen/>
        <w:t xml:space="preserve">ционна активност и като такива те са много по-динамичен измерител. Според това категоризиране пазарната капитализация има междинно значение, тъй като тя е функция на базовия индикатор брой акции и борсовата цена. </w:t>
      </w:r>
    </w:p>
    <w:p w:rsidR="00AD48E2" w:rsidRPr="00534F3B" w:rsidRDefault="00AD48E2" w:rsidP="00AD48E2">
      <w:pPr>
        <w:spacing w:line="300" w:lineRule="exact"/>
        <w:ind w:firstLine="284"/>
        <w:jc w:val="both"/>
        <w:rPr>
          <w:b/>
          <w:sz w:val="22"/>
          <w:szCs w:val="22"/>
        </w:rPr>
      </w:pPr>
    </w:p>
    <w:p w:rsidR="00AD48E2" w:rsidRPr="00534F3B" w:rsidRDefault="00AD48E2" w:rsidP="00AD48E2">
      <w:pPr>
        <w:pageBreakBefore/>
        <w:spacing w:line="300" w:lineRule="exact"/>
        <w:ind w:firstLine="284"/>
        <w:jc w:val="both"/>
        <w:rPr>
          <w:b/>
          <w:sz w:val="22"/>
          <w:szCs w:val="22"/>
        </w:rPr>
      </w:pPr>
      <w:r w:rsidRPr="00534F3B">
        <w:rPr>
          <w:b/>
          <w:sz w:val="22"/>
          <w:szCs w:val="22"/>
        </w:rPr>
        <w:lastRenderedPageBreak/>
        <w:t>2.1. Базови индикатори за пазарна ликвидност на дружествата</w:t>
      </w:r>
    </w:p>
    <w:p w:rsidR="00AD48E2" w:rsidRPr="00534F3B" w:rsidRDefault="00AD48E2" w:rsidP="00AD48E2">
      <w:pPr>
        <w:spacing w:line="300" w:lineRule="exact"/>
        <w:ind w:firstLine="284"/>
        <w:jc w:val="both"/>
        <w:rPr>
          <w:i/>
          <w:sz w:val="22"/>
          <w:szCs w:val="22"/>
        </w:rPr>
      </w:pPr>
      <w:r w:rsidRPr="00534F3B">
        <w:rPr>
          <w:sz w:val="22"/>
          <w:szCs w:val="22"/>
        </w:rPr>
        <w:t xml:space="preserve">За различните първични индикатори като лидери се редуват </w:t>
      </w:r>
      <w:r w:rsidRPr="00534F3B">
        <w:rPr>
          <w:i/>
          <w:sz w:val="22"/>
          <w:szCs w:val="22"/>
        </w:rPr>
        <w:t>Софарма, Първа Инвести</w:t>
      </w:r>
      <w:r w:rsidRPr="00534F3B">
        <w:rPr>
          <w:i/>
          <w:sz w:val="22"/>
          <w:szCs w:val="22"/>
        </w:rPr>
        <w:softHyphen/>
      </w:r>
      <w:r w:rsidRPr="00534F3B">
        <w:rPr>
          <w:i/>
          <w:sz w:val="22"/>
          <w:szCs w:val="22"/>
        </w:rPr>
        <w:softHyphen/>
        <w:t>ци</w:t>
      </w:r>
      <w:r w:rsidRPr="00534F3B">
        <w:rPr>
          <w:i/>
          <w:sz w:val="22"/>
          <w:szCs w:val="22"/>
        </w:rPr>
        <w:softHyphen/>
        <w:t>онна Банка</w:t>
      </w:r>
      <w:r w:rsidRPr="00534F3B">
        <w:rPr>
          <w:sz w:val="22"/>
          <w:szCs w:val="22"/>
        </w:rPr>
        <w:t xml:space="preserve">, </w:t>
      </w:r>
      <w:r w:rsidRPr="00534F3B">
        <w:rPr>
          <w:i/>
          <w:sz w:val="22"/>
          <w:szCs w:val="22"/>
        </w:rPr>
        <w:t>Елана Агрокредит</w:t>
      </w:r>
      <w:r w:rsidRPr="00534F3B">
        <w:rPr>
          <w:sz w:val="22"/>
          <w:szCs w:val="22"/>
        </w:rPr>
        <w:t xml:space="preserve"> и </w:t>
      </w:r>
      <w:r w:rsidRPr="00534F3B">
        <w:rPr>
          <w:i/>
          <w:sz w:val="22"/>
          <w:szCs w:val="22"/>
        </w:rPr>
        <w:t>Доверие Обединен Холдинг</w:t>
      </w:r>
      <w:r w:rsidRPr="00534F3B">
        <w:rPr>
          <w:sz w:val="22"/>
          <w:szCs w:val="22"/>
        </w:rPr>
        <w:t xml:space="preserve"> (Таблици 3 и 4). С доста по-ниски стойно</w:t>
      </w:r>
      <w:r w:rsidRPr="00534F3B">
        <w:rPr>
          <w:sz w:val="22"/>
          <w:szCs w:val="22"/>
        </w:rPr>
        <w:t>с</w:t>
      </w:r>
      <w:r w:rsidRPr="00534F3B">
        <w:rPr>
          <w:sz w:val="22"/>
          <w:szCs w:val="22"/>
        </w:rPr>
        <w:t xml:space="preserve">ти на базовите индикатори са </w:t>
      </w:r>
      <w:r w:rsidRPr="00534F3B">
        <w:rPr>
          <w:i/>
          <w:sz w:val="22"/>
          <w:szCs w:val="22"/>
        </w:rPr>
        <w:t>Болкан енд Сий Пропъртис</w:t>
      </w:r>
      <w:r w:rsidRPr="00534F3B">
        <w:rPr>
          <w:sz w:val="22"/>
          <w:szCs w:val="22"/>
        </w:rPr>
        <w:t xml:space="preserve"> и </w:t>
      </w:r>
      <w:r w:rsidRPr="00534F3B">
        <w:rPr>
          <w:i/>
          <w:sz w:val="22"/>
          <w:szCs w:val="22"/>
        </w:rPr>
        <w:t>Спарки Елтос.</w:t>
      </w:r>
    </w:p>
    <w:p w:rsidR="00AD48E2" w:rsidRPr="00534F3B" w:rsidRDefault="00AD48E2" w:rsidP="00AD48E2">
      <w:pPr>
        <w:pStyle w:val="FIG"/>
      </w:pPr>
      <w:r w:rsidRPr="00534F3B">
        <w:t>Таблица 3. Базови индикатори за пазарна ликвидност на дружествата</w:t>
      </w:r>
    </w:p>
    <w:tbl>
      <w:tblPr>
        <w:tblStyle w:val="TableGrid"/>
        <w:tblW w:w="9469" w:type="dxa"/>
        <w:jc w:val="center"/>
        <w:tblLayout w:type="fixed"/>
        <w:tblCellMar>
          <w:left w:w="57" w:type="dxa"/>
          <w:right w:w="57" w:type="dxa"/>
        </w:tblCellMar>
        <w:tblLook w:val="04A0" w:firstRow="1" w:lastRow="0" w:firstColumn="1" w:lastColumn="0" w:noHBand="0" w:noVBand="1"/>
      </w:tblPr>
      <w:tblGrid>
        <w:gridCol w:w="3070"/>
        <w:gridCol w:w="2086"/>
        <w:gridCol w:w="1959"/>
        <w:gridCol w:w="2354"/>
      </w:tblGrid>
      <w:tr w:rsidR="00AD48E2" w:rsidRPr="00534F3B" w:rsidTr="00F76C47">
        <w:trPr>
          <w:trHeight w:val="20"/>
          <w:jc w:val="center"/>
        </w:trPr>
        <w:tc>
          <w:tcPr>
            <w:tcW w:w="3070" w:type="dxa"/>
          </w:tcPr>
          <w:p w:rsidR="00AD48E2" w:rsidRPr="00534F3B" w:rsidRDefault="00AD48E2" w:rsidP="00F76C47">
            <w:pPr>
              <w:spacing w:before="40" w:after="40"/>
              <w:jc w:val="center"/>
              <w:rPr>
                <w:b/>
                <w:sz w:val="20"/>
                <w:szCs w:val="20"/>
              </w:rPr>
            </w:pPr>
            <w:r w:rsidRPr="00534F3B">
              <w:rPr>
                <w:b/>
                <w:sz w:val="20"/>
                <w:szCs w:val="20"/>
              </w:rPr>
              <w:t>Дружество</w:t>
            </w:r>
          </w:p>
        </w:tc>
        <w:tc>
          <w:tcPr>
            <w:tcW w:w="2086" w:type="dxa"/>
          </w:tcPr>
          <w:p w:rsidR="00AD48E2" w:rsidRPr="00534F3B" w:rsidRDefault="00AD48E2" w:rsidP="00F76C47">
            <w:pPr>
              <w:spacing w:before="40" w:after="40"/>
              <w:jc w:val="center"/>
              <w:rPr>
                <w:sz w:val="20"/>
                <w:szCs w:val="20"/>
              </w:rPr>
            </w:pPr>
            <w:r w:rsidRPr="00534F3B">
              <w:rPr>
                <w:sz w:val="20"/>
                <w:szCs w:val="20"/>
              </w:rPr>
              <w:t>Брой акции</w:t>
            </w:r>
          </w:p>
        </w:tc>
        <w:tc>
          <w:tcPr>
            <w:tcW w:w="1959" w:type="dxa"/>
          </w:tcPr>
          <w:p w:rsidR="00AD48E2" w:rsidRPr="00534F3B" w:rsidRDefault="00AD48E2" w:rsidP="00F76C47">
            <w:pPr>
              <w:spacing w:before="40" w:after="40"/>
              <w:jc w:val="center"/>
              <w:rPr>
                <w:b/>
                <w:sz w:val="20"/>
                <w:szCs w:val="20"/>
              </w:rPr>
            </w:pPr>
            <w:r w:rsidRPr="00534F3B">
              <w:rPr>
                <w:sz w:val="20"/>
                <w:szCs w:val="20"/>
              </w:rPr>
              <w:t>Free-Float, в %</w:t>
            </w:r>
          </w:p>
        </w:tc>
        <w:tc>
          <w:tcPr>
            <w:tcW w:w="2354" w:type="dxa"/>
          </w:tcPr>
          <w:p w:rsidR="00AD48E2" w:rsidRPr="00534F3B" w:rsidRDefault="00AD48E2" w:rsidP="00F76C47">
            <w:pPr>
              <w:spacing w:before="40" w:after="40"/>
              <w:jc w:val="center"/>
              <w:rPr>
                <w:b/>
                <w:sz w:val="20"/>
                <w:szCs w:val="20"/>
              </w:rPr>
            </w:pPr>
            <w:r w:rsidRPr="00534F3B">
              <w:rPr>
                <w:sz w:val="20"/>
                <w:szCs w:val="20"/>
              </w:rPr>
              <w:t>Free-Float, в бр. акции</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Софарма</w:t>
            </w:r>
          </w:p>
        </w:tc>
        <w:tc>
          <w:tcPr>
            <w:tcW w:w="2086" w:type="dxa"/>
          </w:tcPr>
          <w:p w:rsidR="00AD48E2" w:rsidRPr="00534F3B" w:rsidRDefault="00AD48E2" w:rsidP="00F76C47">
            <w:pPr>
              <w:spacing w:before="40" w:after="40"/>
              <w:jc w:val="center"/>
              <w:rPr>
                <w:sz w:val="20"/>
                <w:szCs w:val="20"/>
              </w:rPr>
            </w:pPr>
            <w:r w:rsidRPr="00534F3B">
              <w:rPr>
                <w:sz w:val="20"/>
                <w:szCs w:val="20"/>
              </w:rPr>
              <w:t>134.797.899</w:t>
            </w:r>
          </w:p>
        </w:tc>
        <w:tc>
          <w:tcPr>
            <w:tcW w:w="1959" w:type="dxa"/>
          </w:tcPr>
          <w:p w:rsidR="00AD48E2" w:rsidRPr="00534F3B" w:rsidRDefault="00AD48E2" w:rsidP="00F76C47">
            <w:pPr>
              <w:spacing w:before="40" w:after="40"/>
              <w:jc w:val="center"/>
              <w:rPr>
                <w:sz w:val="20"/>
                <w:szCs w:val="20"/>
              </w:rPr>
            </w:pPr>
            <w:r w:rsidRPr="00534F3B">
              <w:rPr>
                <w:sz w:val="20"/>
                <w:szCs w:val="20"/>
              </w:rPr>
              <w:t>31,87</w:t>
            </w:r>
          </w:p>
        </w:tc>
        <w:tc>
          <w:tcPr>
            <w:tcW w:w="2354" w:type="dxa"/>
          </w:tcPr>
          <w:p w:rsidR="00AD48E2" w:rsidRPr="00534F3B" w:rsidRDefault="00AD48E2" w:rsidP="00F76C47">
            <w:pPr>
              <w:spacing w:before="40" w:after="40"/>
              <w:jc w:val="center"/>
              <w:rPr>
                <w:sz w:val="20"/>
                <w:szCs w:val="20"/>
              </w:rPr>
            </w:pPr>
            <w:r w:rsidRPr="00534F3B">
              <w:rPr>
                <w:sz w:val="20"/>
                <w:szCs w:val="20"/>
              </w:rPr>
              <w:t>42.960.090</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2086" w:type="dxa"/>
          </w:tcPr>
          <w:p w:rsidR="00AD48E2" w:rsidRPr="00534F3B" w:rsidRDefault="00AD48E2" w:rsidP="00F76C47">
            <w:pPr>
              <w:spacing w:before="40" w:after="40"/>
              <w:jc w:val="center"/>
              <w:rPr>
                <w:sz w:val="20"/>
                <w:szCs w:val="20"/>
              </w:rPr>
            </w:pPr>
            <w:r w:rsidRPr="00534F3B">
              <w:rPr>
                <w:sz w:val="20"/>
                <w:szCs w:val="20"/>
              </w:rPr>
              <w:t>18.736.099</w:t>
            </w:r>
          </w:p>
        </w:tc>
        <w:tc>
          <w:tcPr>
            <w:tcW w:w="1959" w:type="dxa"/>
          </w:tcPr>
          <w:p w:rsidR="00AD48E2" w:rsidRPr="00534F3B" w:rsidRDefault="00AD48E2" w:rsidP="00F76C47">
            <w:pPr>
              <w:spacing w:before="40" w:after="40"/>
              <w:jc w:val="center"/>
              <w:rPr>
                <w:sz w:val="20"/>
                <w:szCs w:val="20"/>
              </w:rPr>
            </w:pPr>
            <w:r w:rsidRPr="00534F3B">
              <w:rPr>
                <w:sz w:val="20"/>
                <w:szCs w:val="20"/>
              </w:rPr>
              <w:t>66,12</w:t>
            </w:r>
          </w:p>
        </w:tc>
        <w:tc>
          <w:tcPr>
            <w:tcW w:w="2354" w:type="dxa"/>
          </w:tcPr>
          <w:p w:rsidR="00AD48E2" w:rsidRPr="00534F3B" w:rsidRDefault="00AD48E2" w:rsidP="00F76C47">
            <w:pPr>
              <w:spacing w:before="40" w:after="40"/>
              <w:jc w:val="center"/>
              <w:rPr>
                <w:sz w:val="20"/>
                <w:szCs w:val="20"/>
              </w:rPr>
            </w:pPr>
            <w:r w:rsidRPr="00534F3B">
              <w:rPr>
                <w:sz w:val="20"/>
                <w:szCs w:val="20"/>
              </w:rPr>
              <w:t>12.388.309</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Спарки Елтос</w:t>
            </w:r>
          </w:p>
        </w:tc>
        <w:tc>
          <w:tcPr>
            <w:tcW w:w="2086" w:type="dxa"/>
          </w:tcPr>
          <w:p w:rsidR="00AD48E2" w:rsidRPr="00534F3B" w:rsidRDefault="00AD48E2" w:rsidP="00F76C47">
            <w:pPr>
              <w:spacing w:before="40" w:after="40"/>
              <w:jc w:val="center"/>
              <w:rPr>
                <w:sz w:val="20"/>
                <w:szCs w:val="20"/>
              </w:rPr>
            </w:pPr>
            <w:r w:rsidRPr="00534F3B">
              <w:rPr>
                <w:sz w:val="20"/>
                <w:szCs w:val="20"/>
              </w:rPr>
              <w:t>39.985.608</w:t>
            </w:r>
          </w:p>
        </w:tc>
        <w:tc>
          <w:tcPr>
            <w:tcW w:w="1959" w:type="dxa"/>
          </w:tcPr>
          <w:p w:rsidR="00AD48E2" w:rsidRPr="00534F3B" w:rsidRDefault="00AD48E2" w:rsidP="00F76C47">
            <w:pPr>
              <w:spacing w:before="40" w:after="40"/>
              <w:jc w:val="center"/>
              <w:rPr>
                <w:sz w:val="20"/>
                <w:szCs w:val="20"/>
              </w:rPr>
            </w:pPr>
            <w:r w:rsidRPr="00534F3B">
              <w:rPr>
                <w:sz w:val="20"/>
                <w:szCs w:val="20"/>
              </w:rPr>
              <w:t>12,78</w:t>
            </w:r>
          </w:p>
        </w:tc>
        <w:tc>
          <w:tcPr>
            <w:tcW w:w="2354" w:type="dxa"/>
          </w:tcPr>
          <w:p w:rsidR="00AD48E2" w:rsidRPr="00534F3B" w:rsidRDefault="00AD48E2" w:rsidP="00F76C47">
            <w:pPr>
              <w:spacing w:before="40" w:after="40"/>
              <w:jc w:val="center"/>
              <w:rPr>
                <w:sz w:val="20"/>
                <w:szCs w:val="20"/>
              </w:rPr>
            </w:pPr>
            <w:r w:rsidRPr="00534F3B">
              <w:rPr>
                <w:sz w:val="20"/>
                <w:szCs w:val="20"/>
              </w:rPr>
              <w:t>5.110.161</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Първа Инвести</w:t>
            </w:r>
            <w:r w:rsidRPr="00534F3B">
              <w:rPr>
                <w:sz w:val="20"/>
                <w:szCs w:val="20"/>
              </w:rPr>
              <w:softHyphen/>
            </w:r>
            <w:r w:rsidRPr="00534F3B">
              <w:rPr>
                <w:sz w:val="20"/>
                <w:szCs w:val="20"/>
              </w:rPr>
              <w:softHyphen/>
              <w:t>ци</w:t>
            </w:r>
            <w:r w:rsidRPr="00534F3B">
              <w:rPr>
                <w:sz w:val="20"/>
                <w:szCs w:val="20"/>
              </w:rPr>
              <w:softHyphen/>
              <w:t>онна Банка</w:t>
            </w:r>
          </w:p>
        </w:tc>
        <w:tc>
          <w:tcPr>
            <w:tcW w:w="2086" w:type="dxa"/>
          </w:tcPr>
          <w:p w:rsidR="00AD48E2" w:rsidRPr="00534F3B" w:rsidRDefault="00AD48E2" w:rsidP="00F76C47">
            <w:pPr>
              <w:spacing w:before="40" w:after="40"/>
              <w:jc w:val="center"/>
              <w:rPr>
                <w:sz w:val="20"/>
                <w:szCs w:val="20"/>
              </w:rPr>
            </w:pPr>
            <w:r w:rsidRPr="00534F3B">
              <w:rPr>
                <w:sz w:val="20"/>
                <w:szCs w:val="20"/>
              </w:rPr>
              <w:t>110.000.000</w:t>
            </w:r>
          </w:p>
        </w:tc>
        <w:tc>
          <w:tcPr>
            <w:tcW w:w="1959" w:type="dxa"/>
          </w:tcPr>
          <w:p w:rsidR="00AD48E2" w:rsidRPr="00534F3B" w:rsidRDefault="00AD48E2" w:rsidP="00F76C47">
            <w:pPr>
              <w:spacing w:before="40" w:after="40"/>
              <w:jc w:val="center"/>
              <w:rPr>
                <w:sz w:val="20"/>
                <w:szCs w:val="20"/>
              </w:rPr>
            </w:pPr>
            <w:r w:rsidRPr="00534F3B">
              <w:rPr>
                <w:sz w:val="20"/>
                <w:szCs w:val="20"/>
              </w:rPr>
              <w:t>15,00</w:t>
            </w:r>
          </w:p>
        </w:tc>
        <w:tc>
          <w:tcPr>
            <w:tcW w:w="2354" w:type="dxa"/>
          </w:tcPr>
          <w:p w:rsidR="00AD48E2" w:rsidRPr="00534F3B" w:rsidRDefault="00AD48E2" w:rsidP="00F76C47">
            <w:pPr>
              <w:spacing w:before="40" w:after="40"/>
              <w:jc w:val="center"/>
              <w:rPr>
                <w:sz w:val="20"/>
                <w:szCs w:val="20"/>
              </w:rPr>
            </w:pPr>
            <w:r w:rsidRPr="00534F3B">
              <w:rPr>
                <w:sz w:val="20"/>
                <w:szCs w:val="20"/>
              </w:rPr>
              <w:t>16.500.000</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Елана Агрокредит</w:t>
            </w:r>
          </w:p>
        </w:tc>
        <w:tc>
          <w:tcPr>
            <w:tcW w:w="2086" w:type="dxa"/>
          </w:tcPr>
          <w:p w:rsidR="00AD48E2" w:rsidRPr="00534F3B" w:rsidRDefault="00AD48E2" w:rsidP="00F76C47">
            <w:pPr>
              <w:spacing w:before="40" w:after="40"/>
              <w:jc w:val="center"/>
              <w:rPr>
                <w:sz w:val="20"/>
                <w:szCs w:val="20"/>
              </w:rPr>
            </w:pPr>
            <w:r w:rsidRPr="00534F3B">
              <w:rPr>
                <w:sz w:val="20"/>
                <w:szCs w:val="20"/>
              </w:rPr>
              <w:t>18.902.402</w:t>
            </w:r>
          </w:p>
        </w:tc>
        <w:tc>
          <w:tcPr>
            <w:tcW w:w="1959" w:type="dxa"/>
          </w:tcPr>
          <w:p w:rsidR="00AD48E2" w:rsidRPr="00534F3B" w:rsidRDefault="00AD48E2" w:rsidP="00F76C47">
            <w:pPr>
              <w:spacing w:before="40" w:after="40"/>
              <w:jc w:val="center"/>
              <w:rPr>
                <w:sz w:val="20"/>
                <w:szCs w:val="20"/>
              </w:rPr>
            </w:pPr>
            <w:r w:rsidRPr="00534F3B">
              <w:rPr>
                <w:sz w:val="20"/>
                <w:szCs w:val="20"/>
              </w:rPr>
              <w:t>56,05</w:t>
            </w:r>
          </w:p>
        </w:tc>
        <w:tc>
          <w:tcPr>
            <w:tcW w:w="2354" w:type="dxa"/>
          </w:tcPr>
          <w:p w:rsidR="00AD48E2" w:rsidRPr="00534F3B" w:rsidRDefault="00AD48E2" w:rsidP="00F76C47">
            <w:pPr>
              <w:spacing w:before="40" w:after="40"/>
              <w:jc w:val="center"/>
              <w:rPr>
                <w:sz w:val="20"/>
                <w:szCs w:val="20"/>
              </w:rPr>
            </w:pPr>
            <w:r w:rsidRPr="00534F3B">
              <w:rPr>
                <w:sz w:val="20"/>
                <w:szCs w:val="20"/>
              </w:rPr>
              <w:t>10.594.796</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2086" w:type="dxa"/>
          </w:tcPr>
          <w:p w:rsidR="00AD48E2" w:rsidRPr="00534F3B" w:rsidRDefault="00AD48E2" w:rsidP="00F76C47">
            <w:pPr>
              <w:spacing w:before="40" w:after="40"/>
              <w:jc w:val="center"/>
              <w:rPr>
                <w:sz w:val="20"/>
                <w:szCs w:val="20"/>
              </w:rPr>
            </w:pPr>
            <w:r w:rsidRPr="00534F3B">
              <w:rPr>
                <w:sz w:val="20"/>
                <w:szCs w:val="20"/>
              </w:rPr>
              <w:t>15.008.125</w:t>
            </w:r>
          </w:p>
        </w:tc>
        <w:tc>
          <w:tcPr>
            <w:tcW w:w="1959" w:type="dxa"/>
          </w:tcPr>
          <w:p w:rsidR="00AD48E2" w:rsidRPr="00534F3B" w:rsidRDefault="00AD48E2" w:rsidP="00F76C47">
            <w:pPr>
              <w:spacing w:before="40" w:after="40"/>
              <w:jc w:val="center"/>
              <w:rPr>
                <w:sz w:val="20"/>
                <w:szCs w:val="20"/>
              </w:rPr>
            </w:pPr>
            <w:r w:rsidRPr="00534F3B">
              <w:rPr>
                <w:sz w:val="20"/>
                <w:szCs w:val="20"/>
              </w:rPr>
              <w:t>62,15</w:t>
            </w:r>
          </w:p>
        </w:tc>
        <w:tc>
          <w:tcPr>
            <w:tcW w:w="2354" w:type="dxa"/>
          </w:tcPr>
          <w:p w:rsidR="00AD48E2" w:rsidRPr="00534F3B" w:rsidRDefault="00AD48E2" w:rsidP="00F76C47">
            <w:pPr>
              <w:spacing w:before="40" w:after="40"/>
              <w:jc w:val="center"/>
              <w:rPr>
                <w:sz w:val="20"/>
                <w:szCs w:val="20"/>
              </w:rPr>
            </w:pPr>
            <w:r w:rsidRPr="00534F3B">
              <w:rPr>
                <w:sz w:val="20"/>
                <w:szCs w:val="20"/>
              </w:rPr>
              <w:t>9.327.550</w:t>
            </w:r>
          </w:p>
        </w:tc>
      </w:tr>
      <w:tr w:rsidR="00AD48E2" w:rsidRPr="00534F3B" w:rsidTr="00F76C47">
        <w:trPr>
          <w:trHeight w:val="20"/>
          <w:jc w:val="center"/>
        </w:trPr>
        <w:tc>
          <w:tcPr>
            <w:tcW w:w="307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2086" w:type="dxa"/>
          </w:tcPr>
          <w:p w:rsidR="00AD48E2" w:rsidRPr="00534F3B" w:rsidRDefault="00AD48E2" w:rsidP="00F76C47">
            <w:pPr>
              <w:spacing w:before="40" w:after="40"/>
              <w:jc w:val="center"/>
              <w:rPr>
                <w:sz w:val="20"/>
                <w:szCs w:val="20"/>
              </w:rPr>
            </w:pPr>
            <w:r w:rsidRPr="00534F3B">
              <w:rPr>
                <w:sz w:val="20"/>
                <w:szCs w:val="20"/>
              </w:rPr>
              <w:t>6.925.156</w:t>
            </w:r>
          </w:p>
        </w:tc>
        <w:tc>
          <w:tcPr>
            <w:tcW w:w="1959" w:type="dxa"/>
          </w:tcPr>
          <w:p w:rsidR="00AD48E2" w:rsidRPr="00534F3B" w:rsidRDefault="00AD48E2" w:rsidP="00F76C47">
            <w:pPr>
              <w:spacing w:before="40" w:after="40"/>
              <w:jc w:val="center"/>
              <w:rPr>
                <w:sz w:val="20"/>
                <w:szCs w:val="20"/>
              </w:rPr>
            </w:pPr>
            <w:r w:rsidRPr="00534F3B">
              <w:rPr>
                <w:sz w:val="20"/>
                <w:szCs w:val="20"/>
              </w:rPr>
              <w:t>36,85</w:t>
            </w:r>
          </w:p>
        </w:tc>
        <w:tc>
          <w:tcPr>
            <w:tcW w:w="2354" w:type="dxa"/>
          </w:tcPr>
          <w:p w:rsidR="00AD48E2" w:rsidRPr="00534F3B" w:rsidRDefault="00AD48E2" w:rsidP="00F76C47">
            <w:pPr>
              <w:spacing w:before="40" w:after="40"/>
              <w:jc w:val="center"/>
              <w:rPr>
                <w:sz w:val="20"/>
                <w:szCs w:val="20"/>
              </w:rPr>
            </w:pPr>
            <w:r w:rsidRPr="00534F3B">
              <w:rPr>
                <w:sz w:val="20"/>
                <w:szCs w:val="20"/>
              </w:rPr>
              <w:t>2.551.920</w:t>
            </w:r>
          </w:p>
        </w:tc>
      </w:tr>
    </w:tbl>
    <w:p w:rsidR="00AD48E2" w:rsidRPr="00534F3B" w:rsidRDefault="00AD48E2" w:rsidP="00AD48E2">
      <w:pPr>
        <w:pStyle w:val="FIG"/>
      </w:pPr>
      <w:r w:rsidRPr="00534F3B">
        <w:t>Таблица 4. Пазарна капитализация на Фрий-флоута</w:t>
      </w:r>
    </w:p>
    <w:tbl>
      <w:tblPr>
        <w:tblStyle w:val="TableGrid"/>
        <w:tblW w:w="9469" w:type="dxa"/>
        <w:jc w:val="center"/>
        <w:tblCellMar>
          <w:left w:w="57" w:type="dxa"/>
          <w:right w:w="57" w:type="dxa"/>
        </w:tblCellMar>
        <w:tblLook w:val="04A0" w:firstRow="1" w:lastRow="0" w:firstColumn="1" w:lastColumn="0" w:noHBand="0" w:noVBand="1"/>
      </w:tblPr>
      <w:tblGrid>
        <w:gridCol w:w="5459"/>
        <w:gridCol w:w="4010"/>
      </w:tblGrid>
      <w:tr w:rsidR="00AD48E2" w:rsidRPr="00534F3B" w:rsidTr="00F76C47">
        <w:trPr>
          <w:trHeight w:val="20"/>
          <w:jc w:val="center"/>
        </w:trPr>
        <w:tc>
          <w:tcPr>
            <w:tcW w:w="4410" w:type="dxa"/>
          </w:tcPr>
          <w:p w:rsidR="00AD48E2" w:rsidRPr="00534F3B" w:rsidRDefault="00AD48E2" w:rsidP="00F76C47">
            <w:pPr>
              <w:spacing w:before="40" w:after="40"/>
              <w:jc w:val="center"/>
              <w:rPr>
                <w:b/>
                <w:sz w:val="20"/>
                <w:szCs w:val="20"/>
              </w:rPr>
            </w:pPr>
            <w:r w:rsidRPr="00534F3B">
              <w:rPr>
                <w:b/>
                <w:sz w:val="20"/>
                <w:szCs w:val="20"/>
              </w:rPr>
              <w:t>Дружество</w:t>
            </w:r>
          </w:p>
        </w:tc>
        <w:tc>
          <w:tcPr>
            <w:tcW w:w="3240" w:type="dxa"/>
          </w:tcPr>
          <w:p w:rsidR="00AD48E2" w:rsidRPr="00534F3B" w:rsidRDefault="00AD48E2" w:rsidP="00F76C47">
            <w:pPr>
              <w:spacing w:before="40" w:after="40"/>
              <w:jc w:val="center"/>
              <w:rPr>
                <w:sz w:val="20"/>
                <w:szCs w:val="20"/>
              </w:rPr>
            </w:pPr>
            <w:r w:rsidRPr="00534F3B">
              <w:rPr>
                <w:b/>
                <w:sz w:val="20"/>
                <w:szCs w:val="20"/>
              </w:rPr>
              <w:t>Free-Float в пазарна капитализация</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Софарма</w:t>
            </w:r>
          </w:p>
        </w:tc>
        <w:tc>
          <w:tcPr>
            <w:tcW w:w="3240" w:type="dxa"/>
          </w:tcPr>
          <w:p w:rsidR="00AD48E2" w:rsidRPr="00534F3B" w:rsidRDefault="00AD48E2" w:rsidP="00F76C47">
            <w:pPr>
              <w:spacing w:before="40" w:after="40"/>
              <w:jc w:val="center"/>
              <w:rPr>
                <w:sz w:val="20"/>
                <w:szCs w:val="20"/>
              </w:rPr>
            </w:pPr>
            <w:r w:rsidRPr="00534F3B">
              <w:rPr>
                <w:sz w:val="20"/>
                <w:szCs w:val="20"/>
              </w:rPr>
              <w:t>183.998.067,10</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3240" w:type="dxa"/>
          </w:tcPr>
          <w:p w:rsidR="00AD48E2" w:rsidRPr="00534F3B" w:rsidRDefault="00AD48E2" w:rsidP="00F76C47">
            <w:pPr>
              <w:spacing w:before="40" w:after="40"/>
              <w:jc w:val="center"/>
              <w:rPr>
                <w:sz w:val="20"/>
                <w:szCs w:val="20"/>
              </w:rPr>
            </w:pPr>
            <w:r w:rsidRPr="00534F3B">
              <w:rPr>
                <w:sz w:val="20"/>
                <w:szCs w:val="20"/>
              </w:rPr>
              <w:t>25.780.070,31</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Спарки Елтос</w:t>
            </w:r>
          </w:p>
        </w:tc>
        <w:tc>
          <w:tcPr>
            <w:tcW w:w="3240" w:type="dxa"/>
          </w:tcPr>
          <w:p w:rsidR="00AD48E2" w:rsidRPr="00534F3B" w:rsidRDefault="00AD48E2" w:rsidP="00F76C47">
            <w:pPr>
              <w:spacing w:before="40" w:after="40"/>
              <w:jc w:val="center"/>
              <w:rPr>
                <w:sz w:val="20"/>
                <w:szCs w:val="20"/>
              </w:rPr>
            </w:pPr>
            <w:r w:rsidRPr="00534F3B">
              <w:rPr>
                <w:sz w:val="20"/>
                <w:szCs w:val="20"/>
              </w:rPr>
              <w:t>577.468,90</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Първа Инвести</w:t>
            </w:r>
            <w:r w:rsidRPr="00534F3B">
              <w:rPr>
                <w:sz w:val="20"/>
                <w:szCs w:val="20"/>
              </w:rPr>
              <w:softHyphen/>
            </w:r>
            <w:r w:rsidRPr="00534F3B">
              <w:rPr>
                <w:sz w:val="20"/>
                <w:szCs w:val="20"/>
              </w:rPr>
              <w:softHyphen/>
              <w:t>ци</w:t>
            </w:r>
            <w:r w:rsidRPr="00534F3B">
              <w:rPr>
                <w:sz w:val="20"/>
                <w:szCs w:val="20"/>
              </w:rPr>
              <w:softHyphen/>
              <w:t>онна Банка</w:t>
            </w:r>
          </w:p>
        </w:tc>
        <w:tc>
          <w:tcPr>
            <w:tcW w:w="3240" w:type="dxa"/>
          </w:tcPr>
          <w:p w:rsidR="00AD48E2" w:rsidRPr="00534F3B" w:rsidRDefault="00AD48E2" w:rsidP="00F76C47">
            <w:pPr>
              <w:spacing w:before="40" w:after="40"/>
              <w:jc w:val="center"/>
              <w:rPr>
                <w:sz w:val="20"/>
                <w:szCs w:val="20"/>
              </w:rPr>
            </w:pPr>
            <w:r w:rsidRPr="00534F3B">
              <w:rPr>
                <w:sz w:val="20"/>
                <w:szCs w:val="20"/>
              </w:rPr>
              <w:t>89.925.000,00</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Елана Агрокредит</w:t>
            </w:r>
          </w:p>
        </w:tc>
        <w:tc>
          <w:tcPr>
            <w:tcW w:w="3240" w:type="dxa"/>
          </w:tcPr>
          <w:p w:rsidR="00AD48E2" w:rsidRPr="00534F3B" w:rsidRDefault="00AD48E2" w:rsidP="00F76C47">
            <w:pPr>
              <w:spacing w:before="40" w:after="40"/>
              <w:jc w:val="center"/>
              <w:rPr>
                <w:sz w:val="20"/>
                <w:szCs w:val="20"/>
              </w:rPr>
            </w:pPr>
            <w:r w:rsidRPr="00534F3B">
              <w:rPr>
                <w:sz w:val="20"/>
                <w:szCs w:val="20"/>
              </w:rPr>
              <w:t>14.091.079,30</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3240" w:type="dxa"/>
          </w:tcPr>
          <w:p w:rsidR="00AD48E2" w:rsidRPr="00534F3B" w:rsidRDefault="00AD48E2" w:rsidP="00F76C47">
            <w:pPr>
              <w:spacing w:before="40" w:after="40"/>
              <w:jc w:val="center"/>
              <w:rPr>
                <w:sz w:val="20"/>
                <w:szCs w:val="20"/>
              </w:rPr>
            </w:pPr>
            <w:r w:rsidRPr="00534F3B">
              <w:rPr>
                <w:sz w:val="20"/>
                <w:szCs w:val="20"/>
              </w:rPr>
              <w:t>7.200.649,90</w:t>
            </w:r>
          </w:p>
        </w:tc>
      </w:tr>
      <w:tr w:rsidR="00AD48E2" w:rsidRPr="00534F3B" w:rsidTr="00F76C47">
        <w:trPr>
          <w:trHeight w:val="20"/>
          <w:jc w:val="center"/>
        </w:trPr>
        <w:tc>
          <w:tcPr>
            <w:tcW w:w="441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3240" w:type="dxa"/>
          </w:tcPr>
          <w:p w:rsidR="00AD48E2" w:rsidRPr="00534F3B" w:rsidRDefault="00AD48E2" w:rsidP="00F76C47">
            <w:pPr>
              <w:spacing w:before="40" w:after="40"/>
              <w:jc w:val="center"/>
              <w:rPr>
                <w:sz w:val="20"/>
                <w:szCs w:val="20"/>
              </w:rPr>
            </w:pPr>
            <w:r w:rsidRPr="00534F3B">
              <w:rPr>
                <w:sz w:val="20"/>
                <w:szCs w:val="20"/>
              </w:rPr>
              <w:t>3.473.112,50</w:t>
            </w:r>
          </w:p>
        </w:tc>
      </w:tr>
    </w:tbl>
    <w:p w:rsidR="00AD48E2" w:rsidRPr="0062393D" w:rsidRDefault="00AD48E2" w:rsidP="00AD48E2">
      <w:pPr>
        <w:pStyle w:val="FIGIZTOCHNIK"/>
        <w:rPr>
          <w:lang w:val="ru-RU"/>
        </w:rPr>
      </w:pPr>
      <w:r w:rsidRPr="0062393D">
        <w:rPr>
          <w:lang w:val="ru-RU"/>
        </w:rPr>
        <w:t xml:space="preserve">Източник: сайт на Българска Фондова Борса и собствени изчисления </w:t>
      </w:r>
      <w:r w:rsidRPr="00534F3B">
        <w:rPr>
          <w:rStyle w:val="FootnoteReference"/>
          <w:i w:val="0"/>
          <w:sz w:val="22"/>
        </w:rPr>
        <w:footnoteReference w:id="8"/>
      </w:r>
    </w:p>
    <w:p w:rsidR="00AD48E2" w:rsidRPr="00534F3B" w:rsidRDefault="00AD48E2" w:rsidP="00AD48E2">
      <w:pPr>
        <w:spacing w:before="120" w:line="300" w:lineRule="exact"/>
        <w:ind w:firstLine="284"/>
        <w:jc w:val="both"/>
        <w:rPr>
          <w:b/>
          <w:sz w:val="22"/>
          <w:szCs w:val="22"/>
        </w:rPr>
      </w:pPr>
      <w:r w:rsidRPr="00534F3B">
        <w:rPr>
          <w:b/>
          <w:sz w:val="22"/>
          <w:szCs w:val="22"/>
        </w:rPr>
        <w:t>2.2. Търговски индикатори за пазарна ликвидност на дружествата</w:t>
      </w:r>
    </w:p>
    <w:p w:rsidR="00AD48E2" w:rsidRPr="00534F3B" w:rsidRDefault="00AD48E2" w:rsidP="00AD48E2">
      <w:pPr>
        <w:spacing w:line="300" w:lineRule="exact"/>
        <w:ind w:firstLine="284"/>
        <w:jc w:val="both"/>
        <w:rPr>
          <w:sz w:val="22"/>
          <w:szCs w:val="22"/>
        </w:rPr>
      </w:pPr>
      <w:r w:rsidRPr="00534F3B">
        <w:rPr>
          <w:sz w:val="22"/>
          <w:szCs w:val="22"/>
        </w:rPr>
        <w:t>Според приоритета на първичните инди</w:t>
      </w:r>
      <w:r w:rsidRPr="00534F3B">
        <w:rPr>
          <w:sz w:val="22"/>
          <w:szCs w:val="22"/>
        </w:rPr>
        <w:softHyphen/>
        <w:t>катори, който поста</w:t>
      </w:r>
      <w:r w:rsidRPr="00534F3B">
        <w:rPr>
          <w:sz w:val="22"/>
          <w:szCs w:val="22"/>
        </w:rPr>
        <w:softHyphen/>
        <w:t xml:space="preserve">вихме по-горе, броят акционери е сред първите с водещо значение. Следва да отбележим, че въпреки нормалното му възприемане като пазарен индикатор, той притежава една съществена характеристика на базовите индикатори. </w:t>
      </w:r>
      <w:r w:rsidRPr="00534F3B">
        <w:rPr>
          <w:spacing w:val="-4"/>
          <w:sz w:val="22"/>
          <w:szCs w:val="22"/>
        </w:rPr>
        <w:t>Визираме възмож</w:t>
      </w:r>
      <w:r w:rsidRPr="00534F3B">
        <w:rPr>
          <w:spacing w:val="-4"/>
          <w:sz w:val="22"/>
          <w:szCs w:val="22"/>
        </w:rPr>
        <w:softHyphen/>
        <w:t>ността корпоративният мениджмънт и мажоритарните акционери да влияят на броя на останалите акционери, макар и индиректно, чрез фрий-флоута. Допълнителни, макар и пазарни, мерки са обратното изкупуване на акции, роенето на акции и др. През последните месеци на 2017 н</w:t>
      </w:r>
      <w:r w:rsidRPr="00534F3B">
        <w:rPr>
          <w:spacing w:val="-4"/>
          <w:sz w:val="22"/>
          <w:szCs w:val="22"/>
        </w:rPr>
        <w:t>я</w:t>
      </w:r>
      <w:r w:rsidRPr="00534F3B">
        <w:rPr>
          <w:spacing w:val="-4"/>
          <w:sz w:val="22"/>
          <w:szCs w:val="22"/>
        </w:rPr>
        <w:t>кои дружества, като Софарма, провеждаха доста активна политика по обратно изкупуване на акции</w:t>
      </w:r>
      <w:r w:rsidRPr="00534F3B">
        <w:rPr>
          <w:sz w:val="22"/>
          <w:szCs w:val="22"/>
        </w:rPr>
        <w:t>.</w:t>
      </w:r>
    </w:p>
    <w:p w:rsidR="00AD48E2" w:rsidRPr="00534F3B" w:rsidRDefault="00AD48E2" w:rsidP="00AD48E2">
      <w:pPr>
        <w:pStyle w:val="FIG"/>
      </w:pPr>
      <w:r w:rsidRPr="00534F3B">
        <w:t>Таблица 5. Брой акционери</w:t>
      </w:r>
    </w:p>
    <w:tbl>
      <w:tblPr>
        <w:tblStyle w:val="TableGrid"/>
        <w:tblW w:w="9469" w:type="dxa"/>
        <w:jc w:val="center"/>
        <w:tblCellMar>
          <w:left w:w="57" w:type="dxa"/>
          <w:right w:w="57" w:type="dxa"/>
        </w:tblCellMar>
        <w:tblLook w:val="04A0" w:firstRow="1" w:lastRow="0" w:firstColumn="1" w:lastColumn="0" w:noHBand="0" w:noVBand="1"/>
      </w:tblPr>
      <w:tblGrid>
        <w:gridCol w:w="1789"/>
        <w:gridCol w:w="4945"/>
        <w:gridCol w:w="2735"/>
      </w:tblGrid>
      <w:tr w:rsidR="00AD48E2" w:rsidRPr="00534F3B" w:rsidTr="00F76C47">
        <w:trPr>
          <w:trHeight w:val="20"/>
          <w:jc w:val="center"/>
        </w:trPr>
        <w:tc>
          <w:tcPr>
            <w:tcW w:w="1530" w:type="dxa"/>
          </w:tcPr>
          <w:p w:rsidR="00AD48E2" w:rsidRPr="00534F3B" w:rsidRDefault="00AD48E2" w:rsidP="00F76C47">
            <w:pPr>
              <w:spacing w:before="40" w:after="40"/>
              <w:jc w:val="center"/>
              <w:rPr>
                <w:b/>
                <w:sz w:val="20"/>
                <w:szCs w:val="20"/>
              </w:rPr>
            </w:pPr>
            <w:r w:rsidRPr="00534F3B">
              <w:rPr>
                <w:sz w:val="20"/>
                <w:szCs w:val="20"/>
              </w:rPr>
              <w:t>Борсов индекс</w:t>
            </w:r>
          </w:p>
        </w:tc>
        <w:tc>
          <w:tcPr>
            <w:tcW w:w="4230" w:type="dxa"/>
          </w:tcPr>
          <w:p w:rsidR="00AD48E2" w:rsidRPr="00534F3B" w:rsidRDefault="00AD48E2" w:rsidP="00F76C47">
            <w:pPr>
              <w:spacing w:before="40" w:after="40"/>
              <w:jc w:val="center"/>
              <w:rPr>
                <w:sz w:val="20"/>
                <w:szCs w:val="20"/>
              </w:rPr>
            </w:pPr>
            <w:r w:rsidRPr="00534F3B">
              <w:rPr>
                <w:sz w:val="20"/>
                <w:szCs w:val="20"/>
              </w:rPr>
              <w:t>Дружество</w:t>
            </w:r>
          </w:p>
        </w:tc>
        <w:tc>
          <w:tcPr>
            <w:tcW w:w="2340" w:type="dxa"/>
          </w:tcPr>
          <w:p w:rsidR="00AD48E2" w:rsidRPr="00534F3B" w:rsidRDefault="00AD48E2" w:rsidP="00F76C47">
            <w:pPr>
              <w:spacing w:before="40" w:after="40"/>
              <w:jc w:val="center"/>
              <w:rPr>
                <w:sz w:val="20"/>
                <w:szCs w:val="20"/>
              </w:rPr>
            </w:pPr>
            <w:r w:rsidRPr="00534F3B">
              <w:rPr>
                <w:sz w:val="20"/>
                <w:szCs w:val="20"/>
              </w:rPr>
              <w:t>Брой акционери</w:t>
            </w:r>
          </w:p>
        </w:tc>
      </w:tr>
      <w:tr w:rsidR="00AD48E2" w:rsidRPr="00534F3B" w:rsidTr="00F76C47">
        <w:trPr>
          <w:trHeight w:val="20"/>
          <w:jc w:val="center"/>
        </w:trPr>
        <w:tc>
          <w:tcPr>
            <w:tcW w:w="1530" w:type="dxa"/>
            <w:vMerge w:val="restart"/>
          </w:tcPr>
          <w:p w:rsidR="00AD48E2" w:rsidRPr="00534F3B" w:rsidRDefault="00AD48E2" w:rsidP="00F76C47">
            <w:pPr>
              <w:spacing w:before="40" w:after="40"/>
              <w:rPr>
                <w:sz w:val="20"/>
                <w:szCs w:val="20"/>
              </w:rPr>
            </w:pPr>
            <w:r w:rsidRPr="00534F3B">
              <w:rPr>
                <w:sz w:val="20"/>
                <w:szCs w:val="20"/>
              </w:rPr>
              <w:t>SOFIX</w:t>
            </w:r>
          </w:p>
        </w:tc>
        <w:tc>
          <w:tcPr>
            <w:tcW w:w="4230" w:type="dxa"/>
          </w:tcPr>
          <w:p w:rsidR="00AD48E2" w:rsidRPr="00534F3B" w:rsidRDefault="00AD48E2" w:rsidP="00F76C47">
            <w:pPr>
              <w:spacing w:before="40" w:after="40"/>
              <w:rPr>
                <w:sz w:val="20"/>
                <w:szCs w:val="20"/>
              </w:rPr>
            </w:pPr>
            <w:r w:rsidRPr="00534F3B">
              <w:rPr>
                <w:sz w:val="20"/>
                <w:szCs w:val="20"/>
              </w:rPr>
              <w:t>Софарма</w:t>
            </w:r>
          </w:p>
        </w:tc>
        <w:tc>
          <w:tcPr>
            <w:tcW w:w="2340" w:type="dxa"/>
          </w:tcPr>
          <w:p w:rsidR="00AD48E2" w:rsidRPr="00534F3B" w:rsidRDefault="00AD48E2" w:rsidP="00F76C47">
            <w:pPr>
              <w:spacing w:before="40" w:after="40"/>
              <w:jc w:val="center"/>
              <w:rPr>
                <w:sz w:val="20"/>
                <w:szCs w:val="20"/>
              </w:rPr>
            </w:pPr>
            <w:r w:rsidRPr="00534F3B">
              <w:rPr>
                <w:sz w:val="20"/>
                <w:szCs w:val="20"/>
              </w:rPr>
              <w:t>5.987</w:t>
            </w:r>
          </w:p>
        </w:tc>
      </w:tr>
      <w:tr w:rsidR="00AD48E2" w:rsidRPr="00534F3B" w:rsidTr="00F76C47">
        <w:trPr>
          <w:trHeight w:val="20"/>
          <w:jc w:val="center"/>
        </w:trPr>
        <w:tc>
          <w:tcPr>
            <w:tcW w:w="1530" w:type="dxa"/>
            <w:vMerge/>
          </w:tcPr>
          <w:p w:rsidR="00AD48E2" w:rsidRPr="00534F3B" w:rsidRDefault="00AD48E2" w:rsidP="00F76C47">
            <w:pPr>
              <w:spacing w:before="40" w:after="40"/>
              <w:rPr>
                <w:sz w:val="20"/>
                <w:szCs w:val="20"/>
              </w:rPr>
            </w:pPr>
          </w:p>
        </w:tc>
        <w:tc>
          <w:tcPr>
            <w:tcW w:w="4230" w:type="dxa"/>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2340" w:type="dxa"/>
          </w:tcPr>
          <w:p w:rsidR="00AD48E2" w:rsidRPr="00534F3B" w:rsidRDefault="00AD48E2" w:rsidP="00F76C47">
            <w:pPr>
              <w:spacing w:before="40" w:after="40"/>
              <w:jc w:val="center"/>
              <w:rPr>
                <w:sz w:val="20"/>
                <w:szCs w:val="20"/>
              </w:rPr>
            </w:pPr>
            <w:r w:rsidRPr="00534F3B">
              <w:rPr>
                <w:sz w:val="20"/>
                <w:szCs w:val="20"/>
              </w:rPr>
              <w:t>147.403</w:t>
            </w:r>
          </w:p>
        </w:tc>
      </w:tr>
      <w:tr w:rsidR="00AD48E2" w:rsidRPr="00534F3B" w:rsidTr="00F76C47">
        <w:trPr>
          <w:trHeight w:val="20"/>
          <w:jc w:val="center"/>
        </w:trPr>
        <w:tc>
          <w:tcPr>
            <w:tcW w:w="1530" w:type="dxa"/>
          </w:tcPr>
          <w:p w:rsidR="00AD48E2" w:rsidRPr="00534F3B" w:rsidRDefault="00AD48E2" w:rsidP="00F76C47">
            <w:pPr>
              <w:spacing w:before="40" w:after="40"/>
              <w:rPr>
                <w:sz w:val="20"/>
                <w:szCs w:val="20"/>
              </w:rPr>
            </w:pPr>
            <w:r w:rsidRPr="00534F3B">
              <w:rPr>
                <w:sz w:val="20"/>
                <w:szCs w:val="20"/>
              </w:rPr>
              <w:t>BGBX40</w:t>
            </w:r>
          </w:p>
        </w:tc>
        <w:tc>
          <w:tcPr>
            <w:tcW w:w="4230" w:type="dxa"/>
          </w:tcPr>
          <w:p w:rsidR="00AD48E2" w:rsidRPr="00534F3B" w:rsidRDefault="00AD48E2" w:rsidP="00F76C47">
            <w:pPr>
              <w:spacing w:before="40" w:after="40"/>
              <w:rPr>
                <w:sz w:val="20"/>
                <w:szCs w:val="20"/>
              </w:rPr>
            </w:pPr>
            <w:r w:rsidRPr="00534F3B">
              <w:rPr>
                <w:sz w:val="20"/>
                <w:szCs w:val="20"/>
              </w:rPr>
              <w:t>Спарки Елтос</w:t>
            </w:r>
          </w:p>
        </w:tc>
        <w:tc>
          <w:tcPr>
            <w:tcW w:w="2340" w:type="dxa"/>
          </w:tcPr>
          <w:p w:rsidR="00AD48E2" w:rsidRPr="00534F3B" w:rsidRDefault="00AD48E2" w:rsidP="00F76C47">
            <w:pPr>
              <w:spacing w:before="40" w:after="40"/>
              <w:jc w:val="center"/>
              <w:rPr>
                <w:sz w:val="20"/>
                <w:szCs w:val="20"/>
              </w:rPr>
            </w:pPr>
            <w:r w:rsidRPr="00534F3B">
              <w:rPr>
                <w:sz w:val="20"/>
                <w:szCs w:val="20"/>
              </w:rPr>
              <w:t>5.557</w:t>
            </w:r>
          </w:p>
        </w:tc>
      </w:tr>
      <w:tr w:rsidR="00AD48E2" w:rsidRPr="00534F3B" w:rsidTr="00F76C47">
        <w:trPr>
          <w:trHeight w:val="20"/>
          <w:jc w:val="center"/>
        </w:trPr>
        <w:tc>
          <w:tcPr>
            <w:tcW w:w="1530" w:type="dxa"/>
            <w:vMerge w:val="restart"/>
          </w:tcPr>
          <w:p w:rsidR="00AD48E2" w:rsidRPr="00534F3B" w:rsidRDefault="00AD48E2" w:rsidP="00F76C47">
            <w:pPr>
              <w:spacing w:before="40" w:after="40"/>
              <w:rPr>
                <w:sz w:val="20"/>
                <w:szCs w:val="20"/>
              </w:rPr>
            </w:pPr>
            <w:r w:rsidRPr="00534F3B">
              <w:rPr>
                <w:sz w:val="20"/>
                <w:szCs w:val="20"/>
              </w:rPr>
              <w:t>BGTR30</w:t>
            </w:r>
          </w:p>
        </w:tc>
        <w:tc>
          <w:tcPr>
            <w:tcW w:w="4230" w:type="dxa"/>
          </w:tcPr>
          <w:p w:rsidR="00AD48E2" w:rsidRPr="00534F3B" w:rsidRDefault="00AD48E2" w:rsidP="00F76C47">
            <w:pPr>
              <w:spacing w:before="40" w:after="40"/>
              <w:rPr>
                <w:sz w:val="20"/>
                <w:szCs w:val="20"/>
              </w:rPr>
            </w:pPr>
            <w:r w:rsidRPr="00534F3B">
              <w:rPr>
                <w:sz w:val="20"/>
                <w:szCs w:val="20"/>
              </w:rPr>
              <w:t>Първа Инвестиционна Банка</w:t>
            </w:r>
          </w:p>
        </w:tc>
        <w:tc>
          <w:tcPr>
            <w:tcW w:w="2340" w:type="dxa"/>
          </w:tcPr>
          <w:p w:rsidR="00AD48E2" w:rsidRPr="00534F3B" w:rsidRDefault="00AD48E2" w:rsidP="00F76C47">
            <w:pPr>
              <w:spacing w:before="40" w:after="40"/>
              <w:jc w:val="center"/>
              <w:rPr>
                <w:sz w:val="20"/>
                <w:szCs w:val="20"/>
              </w:rPr>
            </w:pPr>
            <w:r w:rsidRPr="00534F3B">
              <w:rPr>
                <w:sz w:val="20"/>
                <w:szCs w:val="20"/>
              </w:rPr>
              <w:t>1.934</w:t>
            </w:r>
          </w:p>
        </w:tc>
      </w:tr>
      <w:tr w:rsidR="00AD48E2" w:rsidRPr="00534F3B" w:rsidTr="00F76C47">
        <w:trPr>
          <w:trHeight w:val="20"/>
          <w:jc w:val="center"/>
        </w:trPr>
        <w:tc>
          <w:tcPr>
            <w:tcW w:w="1530" w:type="dxa"/>
            <w:vMerge/>
          </w:tcPr>
          <w:p w:rsidR="00AD48E2" w:rsidRPr="00534F3B" w:rsidRDefault="00AD48E2" w:rsidP="00F76C47">
            <w:pPr>
              <w:spacing w:before="40" w:after="40"/>
              <w:rPr>
                <w:sz w:val="20"/>
                <w:szCs w:val="20"/>
              </w:rPr>
            </w:pPr>
          </w:p>
        </w:tc>
        <w:tc>
          <w:tcPr>
            <w:tcW w:w="4230" w:type="dxa"/>
          </w:tcPr>
          <w:p w:rsidR="00AD48E2" w:rsidRPr="00534F3B" w:rsidRDefault="00AD48E2" w:rsidP="00F76C47">
            <w:pPr>
              <w:spacing w:before="40" w:after="40"/>
              <w:rPr>
                <w:sz w:val="20"/>
                <w:szCs w:val="20"/>
              </w:rPr>
            </w:pPr>
            <w:r w:rsidRPr="00534F3B">
              <w:rPr>
                <w:sz w:val="20"/>
                <w:szCs w:val="20"/>
              </w:rPr>
              <w:t>Елана Агрокредит</w:t>
            </w:r>
          </w:p>
        </w:tc>
        <w:tc>
          <w:tcPr>
            <w:tcW w:w="2340" w:type="dxa"/>
          </w:tcPr>
          <w:p w:rsidR="00AD48E2" w:rsidRPr="00534F3B" w:rsidRDefault="00AD48E2" w:rsidP="00F76C47">
            <w:pPr>
              <w:spacing w:before="40" w:after="40"/>
              <w:jc w:val="center"/>
              <w:rPr>
                <w:sz w:val="20"/>
                <w:szCs w:val="20"/>
              </w:rPr>
            </w:pPr>
            <w:r w:rsidRPr="00534F3B">
              <w:rPr>
                <w:sz w:val="20"/>
                <w:szCs w:val="20"/>
              </w:rPr>
              <w:t>385</w:t>
            </w:r>
          </w:p>
        </w:tc>
      </w:tr>
      <w:tr w:rsidR="00AD48E2" w:rsidRPr="00534F3B" w:rsidTr="00F76C47">
        <w:trPr>
          <w:trHeight w:val="20"/>
          <w:jc w:val="center"/>
        </w:trPr>
        <w:tc>
          <w:tcPr>
            <w:tcW w:w="1530" w:type="dxa"/>
            <w:vMerge w:val="restart"/>
          </w:tcPr>
          <w:p w:rsidR="00AD48E2" w:rsidRPr="00534F3B" w:rsidRDefault="00AD48E2" w:rsidP="00F76C47">
            <w:pPr>
              <w:spacing w:before="40" w:after="40"/>
              <w:rPr>
                <w:sz w:val="20"/>
                <w:szCs w:val="20"/>
              </w:rPr>
            </w:pPr>
            <w:r w:rsidRPr="00534F3B">
              <w:rPr>
                <w:sz w:val="20"/>
                <w:szCs w:val="20"/>
              </w:rPr>
              <w:lastRenderedPageBreak/>
              <w:t>BGREIT</w:t>
            </w:r>
          </w:p>
        </w:tc>
        <w:tc>
          <w:tcPr>
            <w:tcW w:w="423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2340" w:type="dxa"/>
          </w:tcPr>
          <w:p w:rsidR="00AD48E2" w:rsidRPr="00534F3B" w:rsidRDefault="00AD48E2" w:rsidP="00F76C47">
            <w:pPr>
              <w:spacing w:before="40" w:after="40"/>
              <w:jc w:val="center"/>
              <w:rPr>
                <w:sz w:val="20"/>
                <w:szCs w:val="20"/>
              </w:rPr>
            </w:pPr>
            <w:r w:rsidRPr="00534F3B">
              <w:rPr>
                <w:sz w:val="20"/>
                <w:szCs w:val="20"/>
              </w:rPr>
              <w:t>178</w:t>
            </w:r>
          </w:p>
        </w:tc>
      </w:tr>
      <w:tr w:rsidR="00AD48E2" w:rsidRPr="00534F3B" w:rsidTr="00F76C47">
        <w:trPr>
          <w:trHeight w:val="20"/>
          <w:jc w:val="center"/>
        </w:trPr>
        <w:tc>
          <w:tcPr>
            <w:tcW w:w="1530" w:type="dxa"/>
            <w:vMerge/>
          </w:tcPr>
          <w:p w:rsidR="00AD48E2" w:rsidRPr="00534F3B" w:rsidRDefault="00AD48E2" w:rsidP="00F76C47">
            <w:pPr>
              <w:spacing w:before="40" w:after="40"/>
              <w:rPr>
                <w:sz w:val="20"/>
                <w:szCs w:val="20"/>
              </w:rPr>
            </w:pPr>
          </w:p>
        </w:tc>
        <w:tc>
          <w:tcPr>
            <w:tcW w:w="423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2340" w:type="dxa"/>
          </w:tcPr>
          <w:p w:rsidR="00AD48E2" w:rsidRPr="00534F3B" w:rsidRDefault="00AD48E2" w:rsidP="00F76C47">
            <w:pPr>
              <w:pStyle w:val="ListParagraph"/>
              <w:spacing w:before="40" w:after="40"/>
              <w:ind w:left="0"/>
              <w:contextualSpacing w:val="0"/>
              <w:jc w:val="center"/>
              <w:rPr>
                <w:sz w:val="20"/>
                <w:szCs w:val="20"/>
                <w:lang w:val="bg-BG"/>
              </w:rPr>
            </w:pPr>
            <w:r w:rsidRPr="00534F3B">
              <w:rPr>
                <w:sz w:val="20"/>
                <w:szCs w:val="20"/>
                <w:lang w:val="bg-BG"/>
              </w:rPr>
              <w:t>47</w:t>
            </w:r>
          </w:p>
        </w:tc>
      </w:tr>
    </w:tbl>
    <w:p w:rsidR="00AD48E2" w:rsidRPr="0062393D" w:rsidRDefault="00AD48E2" w:rsidP="00AD48E2">
      <w:pPr>
        <w:pStyle w:val="FIGIZTOCHNIK"/>
        <w:rPr>
          <w:lang w:val="ru-RU"/>
        </w:rPr>
      </w:pPr>
      <w:r w:rsidRPr="0062393D">
        <w:rPr>
          <w:lang w:val="ru-RU"/>
        </w:rPr>
        <w:t>Данните са предоставени специално от Българска Фондова Борса</w:t>
      </w:r>
    </w:p>
    <w:p w:rsidR="00AD48E2" w:rsidRPr="00534F3B" w:rsidRDefault="00AD48E2" w:rsidP="00AD48E2">
      <w:pPr>
        <w:pStyle w:val="FIG"/>
        <w:spacing w:before="0"/>
      </w:pPr>
      <w:r w:rsidRPr="00534F3B">
        <w:t>Таблица 6. Търговски индикатори за пазарна ликвидност на дружествата</w:t>
      </w:r>
    </w:p>
    <w:tbl>
      <w:tblPr>
        <w:tblStyle w:val="TableGrid"/>
        <w:tblW w:w="9469" w:type="dxa"/>
        <w:jc w:val="center"/>
        <w:tblCellMar>
          <w:left w:w="57" w:type="dxa"/>
          <w:right w:w="57" w:type="dxa"/>
        </w:tblCellMar>
        <w:tblLook w:val="04A0" w:firstRow="1" w:lastRow="0" w:firstColumn="1" w:lastColumn="0" w:noHBand="0" w:noVBand="1"/>
      </w:tblPr>
      <w:tblGrid>
        <w:gridCol w:w="2306"/>
        <w:gridCol w:w="1501"/>
        <w:gridCol w:w="1519"/>
        <w:gridCol w:w="1933"/>
        <w:gridCol w:w="2210"/>
      </w:tblGrid>
      <w:tr w:rsidR="00AD48E2" w:rsidRPr="00534F3B" w:rsidTr="00F76C47">
        <w:trPr>
          <w:trHeight w:val="20"/>
          <w:jc w:val="center"/>
        </w:trPr>
        <w:tc>
          <w:tcPr>
            <w:tcW w:w="2023" w:type="dxa"/>
          </w:tcPr>
          <w:p w:rsidR="00AD48E2" w:rsidRPr="00534F3B" w:rsidRDefault="00AD48E2" w:rsidP="00F76C47">
            <w:pPr>
              <w:spacing w:before="40" w:after="40"/>
              <w:jc w:val="center"/>
              <w:rPr>
                <w:b/>
                <w:sz w:val="20"/>
                <w:szCs w:val="20"/>
              </w:rPr>
            </w:pPr>
            <w:r w:rsidRPr="00534F3B">
              <w:rPr>
                <w:b/>
                <w:sz w:val="20"/>
                <w:szCs w:val="20"/>
              </w:rPr>
              <w:t>Дружество</w:t>
            </w:r>
          </w:p>
        </w:tc>
        <w:tc>
          <w:tcPr>
            <w:tcW w:w="1316" w:type="dxa"/>
          </w:tcPr>
          <w:p w:rsidR="00AD48E2" w:rsidRPr="00534F3B" w:rsidRDefault="00AD48E2" w:rsidP="00F76C47">
            <w:pPr>
              <w:spacing w:before="40" w:after="40"/>
              <w:jc w:val="center"/>
              <w:rPr>
                <w:sz w:val="20"/>
                <w:szCs w:val="20"/>
              </w:rPr>
            </w:pPr>
            <w:r w:rsidRPr="00534F3B">
              <w:rPr>
                <w:sz w:val="20"/>
                <w:szCs w:val="20"/>
              </w:rPr>
              <w:t>Брой търговски дни</w:t>
            </w:r>
          </w:p>
        </w:tc>
        <w:tc>
          <w:tcPr>
            <w:tcW w:w="1332" w:type="dxa"/>
          </w:tcPr>
          <w:p w:rsidR="00AD48E2" w:rsidRPr="00534F3B" w:rsidRDefault="00AD48E2" w:rsidP="00F76C47">
            <w:pPr>
              <w:spacing w:before="40" w:after="40"/>
              <w:jc w:val="center"/>
              <w:rPr>
                <w:sz w:val="20"/>
                <w:szCs w:val="20"/>
              </w:rPr>
            </w:pPr>
            <w:r w:rsidRPr="00534F3B">
              <w:rPr>
                <w:sz w:val="20"/>
                <w:szCs w:val="20"/>
              </w:rPr>
              <w:t>Брой сделки</w:t>
            </w:r>
          </w:p>
        </w:tc>
        <w:tc>
          <w:tcPr>
            <w:tcW w:w="1695" w:type="dxa"/>
          </w:tcPr>
          <w:p w:rsidR="00AD48E2" w:rsidRPr="00534F3B" w:rsidRDefault="00AD48E2" w:rsidP="00F76C47">
            <w:pPr>
              <w:spacing w:before="40" w:after="40"/>
              <w:jc w:val="center"/>
              <w:rPr>
                <w:sz w:val="20"/>
                <w:szCs w:val="20"/>
              </w:rPr>
            </w:pPr>
            <w:r w:rsidRPr="00534F3B">
              <w:rPr>
                <w:sz w:val="20"/>
                <w:szCs w:val="20"/>
              </w:rPr>
              <w:t>Борсов обем</w:t>
            </w:r>
            <w:r w:rsidRPr="00534F3B">
              <w:rPr>
                <w:rStyle w:val="FootnoteReference"/>
                <w:sz w:val="20"/>
                <w:szCs w:val="20"/>
              </w:rPr>
              <w:footnoteReference w:id="9"/>
            </w:r>
          </w:p>
        </w:tc>
        <w:tc>
          <w:tcPr>
            <w:tcW w:w="1938" w:type="dxa"/>
          </w:tcPr>
          <w:p w:rsidR="00AD48E2" w:rsidRPr="00534F3B" w:rsidRDefault="00AD48E2" w:rsidP="00F76C47">
            <w:pPr>
              <w:spacing w:before="40" w:after="40"/>
              <w:jc w:val="center"/>
              <w:rPr>
                <w:sz w:val="20"/>
                <w:szCs w:val="20"/>
              </w:rPr>
            </w:pPr>
            <w:r w:rsidRPr="00534F3B">
              <w:rPr>
                <w:sz w:val="20"/>
                <w:szCs w:val="20"/>
              </w:rPr>
              <w:t>Борсов оборот</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Софарма</w:t>
            </w:r>
          </w:p>
        </w:tc>
        <w:tc>
          <w:tcPr>
            <w:tcW w:w="1316" w:type="dxa"/>
          </w:tcPr>
          <w:p w:rsidR="00AD48E2" w:rsidRPr="00534F3B" w:rsidRDefault="00AD48E2" w:rsidP="00F76C47">
            <w:pPr>
              <w:spacing w:before="40" w:after="40"/>
              <w:jc w:val="center"/>
              <w:rPr>
                <w:sz w:val="20"/>
                <w:szCs w:val="20"/>
              </w:rPr>
            </w:pPr>
            <w:r w:rsidRPr="00534F3B">
              <w:rPr>
                <w:sz w:val="20"/>
                <w:szCs w:val="20"/>
              </w:rPr>
              <w:t>326</w:t>
            </w:r>
          </w:p>
        </w:tc>
        <w:tc>
          <w:tcPr>
            <w:tcW w:w="1332" w:type="dxa"/>
          </w:tcPr>
          <w:p w:rsidR="00AD48E2" w:rsidRPr="00534F3B" w:rsidRDefault="00AD48E2" w:rsidP="00F76C47">
            <w:pPr>
              <w:spacing w:before="40" w:after="40"/>
              <w:jc w:val="center"/>
              <w:rPr>
                <w:sz w:val="20"/>
                <w:szCs w:val="20"/>
              </w:rPr>
            </w:pPr>
            <w:r w:rsidRPr="00534F3B">
              <w:rPr>
                <w:sz w:val="20"/>
                <w:szCs w:val="20"/>
              </w:rPr>
              <w:t>4.873</w:t>
            </w:r>
          </w:p>
        </w:tc>
        <w:tc>
          <w:tcPr>
            <w:tcW w:w="1695" w:type="dxa"/>
          </w:tcPr>
          <w:p w:rsidR="00AD48E2" w:rsidRPr="00534F3B" w:rsidRDefault="00AD48E2" w:rsidP="00F76C47">
            <w:pPr>
              <w:spacing w:before="40" w:after="40"/>
              <w:jc w:val="center"/>
              <w:rPr>
                <w:sz w:val="20"/>
                <w:szCs w:val="20"/>
              </w:rPr>
            </w:pPr>
            <w:r w:rsidRPr="00534F3B">
              <w:rPr>
                <w:sz w:val="20"/>
                <w:szCs w:val="20"/>
              </w:rPr>
              <w:t>27.892.418</w:t>
            </w:r>
          </w:p>
        </w:tc>
        <w:tc>
          <w:tcPr>
            <w:tcW w:w="1938" w:type="dxa"/>
          </w:tcPr>
          <w:p w:rsidR="00AD48E2" w:rsidRPr="00534F3B" w:rsidRDefault="00AD48E2" w:rsidP="00F76C47">
            <w:pPr>
              <w:spacing w:before="40" w:after="40"/>
              <w:jc w:val="center"/>
              <w:rPr>
                <w:sz w:val="20"/>
                <w:szCs w:val="20"/>
              </w:rPr>
            </w:pPr>
            <w:r w:rsidRPr="00534F3B">
              <w:rPr>
                <w:sz w:val="20"/>
                <w:szCs w:val="20"/>
              </w:rPr>
              <w:t>107.948.113,00</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Доверие Обе</w:t>
            </w:r>
            <w:r w:rsidRPr="00534F3B">
              <w:rPr>
                <w:sz w:val="20"/>
                <w:szCs w:val="20"/>
              </w:rPr>
              <w:softHyphen/>
              <w:t xml:space="preserve">динен </w:t>
            </w:r>
            <w:r w:rsidRPr="00534F3B">
              <w:rPr>
                <w:sz w:val="20"/>
                <w:szCs w:val="20"/>
              </w:rPr>
              <w:br/>
              <w:t>Холдинг</w:t>
            </w:r>
          </w:p>
        </w:tc>
        <w:tc>
          <w:tcPr>
            <w:tcW w:w="1316" w:type="dxa"/>
          </w:tcPr>
          <w:p w:rsidR="00AD48E2" w:rsidRPr="00534F3B" w:rsidRDefault="00AD48E2" w:rsidP="00F76C47">
            <w:pPr>
              <w:spacing w:before="40" w:after="40"/>
              <w:jc w:val="center"/>
              <w:rPr>
                <w:sz w:val="20"/>
                <w:szCs w:val="20"/>
              </w:rPr>
            </w:pPr>
            <w:r w:rsidRPr="00534F3B">
              <w:rPr>
                <w:sz w:val="20"/>
                <w:szCs w:val="20"/>
              </w:rPr>
              <w:t>289</w:t>
            </w:r>
          </w:p>
        </w:tc>
        <w:tc>
          <w:tcPr>
            <w:tcW w:w="1332" w:type="dxa"/>
          </w:tcPr>
          <w:p w:rsidR="00AD48E2" w:rsidRPr="00534F3B" w:rsidRDefault="00AD48E2" w:rsidP="00F76C47">
            <w:pPr>
              <w:spacing w:before="40" w:after="40"/>
              <w:jc w:val="center"/>
              <w:rPr>
                <w:sz w:val="20"/>
                <w:szCs w:val="20"/>
              </w:rPr>
            </w:pPr>
            <w:r w:rsidRPr="00534F3B">
              <w:rPr>
                <w:sz w:val="20"/>
                <w:szCs w:val="20"/>
              </w:rPr>
              <w:t>4.334</w:t>
            </w:r>
          </w:p>
        </w:tc>
        <w:tc>
          <w:tcPr>
            <w:tcW w:w="1695" w:type="dxa"/>
          </w:tcPr>
          <w:p w:rsidR="00AD48E2" w:rsidRPr="00534F3B" w:rsidRDefault="00AD48E2" w:rsidP="00F76C47">
            <w:pPr>
              <w:spacing w:before="40" w:after="40"/>
              <w:jc w:val="center"/>
              <w:rPr>
                <w:sz w:val="20"/>
                <w:szCs w:val="20"/>
              </w:rPr>
            </w:pPr>
            <w:r w:rsidRPr="00534F3B">
              <w:rPr>
                <w:sz w:val="20"/>
                <w:szCs w:val="20"/>
              </w:rPr>
              <w:t>9.267.688</w:t>
            </w:r>
          </w:p>
        </w:tc>
        <w:tc>
          <w:tcPr>
            <w:tcW w:w="1938" w:type="dxa"/>
          </w:tcPr>
          <w:p w:rsidR="00AD48E2" w:rsidRPr="00534F3B" w:rsidRDefault="00AD48E2" w:rsidP="00F76C47">
            <w:pPr>
              <w:spacing w:before="40" w:after="40"/>
              <w:jc w:val="center"/>
              <w:rPr>
                <w:sz w:val="20"/>
                <w:szCs w:val="20"/>
              </w:rPr>
            </w:pPr>
            <w:r w:rsidRPr="00534F3B">
              <w:rPr>
                <w:sz w:val="20"/>
                <w:szCs w:val="20"/>
              </w:rPr>
              <w:t>15.466.907,40</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Спарки Елтос</w:t>
            </w:r>
          </w:p>
        </w:tc>
        <w:tc>
          <w:tcPr>
            <w:tcW w:w="1316" w:type="dxa"/>
          </w:tcPr>
          <w:p w:rsidR="00AD48E2" w:rsidRPr="00534F3B" w:rsidRDefault="00AD48E2" w:rsidP="00F76C47">
            <w:pPr>
              <w:pStyle w:val="ListParagraph"/>
              <w:spacing w:before="40" w:after="40"/>
              <w:ind w:left="0"/>
              <w:contextualSpacing w:val="0"/>
              <w:jc w:val="center"/>
              <w:rPr>
                <w:sz w:val="20"/>
                <w:szCs w:val="20"/>
                <w:lang w:val="bg-BG"/>
              </w:rPr>
            </w:pPr>
            <w:r w:rsidRPr="00534F3B">
              <w:rPr>
                <w:sz w:val="20"/>
                <w:szCs w:val="20"/>
                <w:lang w:val="bg-BG"/>
              </w:rPr>
              <w:t>112</w:t>
            </w:r>
          </w:p>
        </w:tc>
        <w:tc>
          <w:tcPr>
            <w:tcW w:w="1332" w:type="dxa"/>
          </w:tcPr>
          <w:p w:rsidR="00AD48E2" w:rsidRPr="00534F3B" w:rsidRDefault="00AD48E2" w:rsidP="00F76C47">
            <w:pPr>
              <w:spacing w:before="40" w:after="40"/>
              <w:jc w:val="center"/>
              <w:rPr>
                <w:sz w:val="20"/>
                <w:szCs w:val="20"/>
              </w:rPr>
            </w:pPr>
            <w:r w:rsidRPr="00534F3B">
              <w:rPr>
                <w:sz w:val="20"/>
                <w:szCs w:val="20"/>
              </w:rPr>
              <w:t>357</w:t>
            </w:r>
          </w:p>
        </w:tc>
        <w:tc>
          <w:tcPr>
            <w:tcW w:w="1695" w:type="dxa"/>
          </w:tcPr>
          <w:p w:rsidR="00AD48E2" w:rsidRPr="00534F3B" w:rsidRDefault="00AD48E2" w:rsidP="00F76C47">
            <w:pPr>
              <w:spacing w:before="40" w:after="40"/>
              <w:jc w:val="center"/>
              <w:rPr>
                <w:sz w:val="20"/>
                <w:szCs w:val="20"/>
              </w:rPr>
            </w:pPr>
            <w:r w:rsidRPr="00534F3B">
              <w:rPr>
                <w:sz w:val="20"/>
                <w:szCs w:val="20"/>
              </w:rPr>
              <w:t>286.002</w:t>
            </w:r>
          </w:p>
        </w:tc>
        <w:tc>
          <w:tcPr>
            <w:tcW w:w="1938" w:type="dxa"/>
          </w:tcPr>
          <w:p w:rsidR="00AD48E2" w:rsidRPr="00534F3B" w:rsidRDefault="00AD48E2" w:rsidP="00F76C47">
            <w:pPr>
              <w:spacing w:before="40" w:after="40"/>
              <w:jc w:val="center"/>
              <w:rPr>
                <w:sz w:val="20"/>
                <w:szCs w:val="20"/>
              </w:rPr>
            </w:pPr>
            <w:r w:rsidRPr="00534F3B">
              <w:rPr>
                <w:sz w:val="20"/>
                <w:szCs w:val="20"/>
              </w:rPr>
              <w:t>139.973,11</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Първа Инвест. Банка</w:t>
            </w:r>
          </w:p>
        </w:tc>
        <w:tc>
          <w:tcPr>
            <w:tcW w:w="1316" w:type="dxa"/>
          </w:tcPr>
          <w:p w:rsidR="00AD48E2" w:rsidRPr="00534F3B" w:rsidRDefault="00AD48E2" w:rsidP="00F76C47">
            <w:pPr>
              <w:pStyle w:val="ListParagraph"/>
              <w:spacing w:before="40" w:after="40"/>
              <w:ind w:left="0"/>
              <w:contextualSpacing w:val="0"/>
              <w:jc w:val="center"/>
              <w:rPr>
                <w:sz w:val="20"/>
                <w:szCs w:val="20"/>
                <w:lang w:val="bg-BG"/>
              </w:rPr>
            </w:pPr>
            <w:r w:rsidRPr="00534F3B">
              <w:rPr>
                <w:sz w:val="20"/>
                <w:szCs w:val="20"/>
                <w:lang w:val="bg-BG"/>
              </w:rPr>
              <w:t>305</w:t>
            </w:r>
          </w:p>
        </w:tc>
        <w:tc>
          <w:tcPr>
            <w:tcW w:w="1332" w:type="dxa"/>
          </w:tcPr>
          <w:p w:rsidR="00AD48E2" w:rsidRPr="00534F3B" w:rsidRDefault="00AD48E2" w:rsidP="00F76C47">
            <w:pPr>
              <w:spacing w:before="40" w:after="40"/>
              <w:jc w:val="center"/>
              <w:rPr>
                <w:sz w:val="20"/>
                <w:szCs w:val="20"/>
              </w:rPr>
            </w:pPr>
            <w:r w:rsidRPr="00534F3B">
              <w:rPr>
                <w:sz w:val="20"/>
                <w:szCs w:val="20"/>
              </w:rPr>
              <w:t>3.719</w:t>
            </w:r>
          </w:p>
        </w:tc>
        <w:tc>
          <w:tcPr>
            <w:tcW w:w="1695" w:type="dxa"/>
          </w:tcPr>
          <w:p w:rsidR="00AD48E2" w:rsidRPr="00534F3B" w:rsidRDefault="00AD48E2" w:rsidP="00F76C47">
            <w:pPr>
              <w:spacing w:before="40" w:after="40"/>
              <w:jc w:val="center"/>
              <w:rPr>
                <w:sz w:val="20"/>
                <w:szCs w:val="20"/>
              </w:rPr>
            </w:pPr>
            <w:r w:rsidRPr="00534F3B">
              <w:rPr>
                <w:sz w:val="20"/>
                <w:szCs w:val="20"/>
              </w:rPr>
              <w:t>3.770.932</w:t>
            </w:r>
          </w:p>
        </w:tc>
        <w:tc>
          <w:tcPr>
            <w:tcW w:w="1938" w:type="dxa"/>
          </w:tcPr>
          <w:p w:rsidR="00AD48E2" w:rsidRPr="00534F3B" w:rsidRDefault="00AD48E2" w:rsidP="00F76C47">
            <w:pPr>
              <w:spacing w:before="40" w:after="40"/>
              <w:jc w:val="center"/>
              <w:rPr>
                <w:sz w:val="20"/>
                <w:szCs w:val="20"/>
              </w:rPr>
            </w:pPr>
            <w:r w:rsidRPr="00534F3B">
              <w:rPr>
                <w:sz w:val="20"/>
                <w:szCs w:val="20"/>
              </w:rPr>
              <w:t>14.554.180,31</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 xml:space="preserve">Елана </w:t>
            </w:r>
          </w:p>
          <w:p w:rsidR="00AD48E2" w:rsidRPr="00534F3B" w:rsidRDefault="00AD48E2" w:rsidP="00F76C47">
            <w:pPr>
              <w:spacing w:before="40" w:after="40"/>
              <w:rPr>
                <w:sz w:val="20"/>
                <w:szCs w:val="20"/>
              </w:rPr>
            </w:pPr>
            <w:r w:rsidRPr="00534F3B">
              <w:rPr>
                <w:sz w:val="20"/>
                <w:szCs w:val="20"/>
              </w:rPr>
              <w:t>Агрокредит</w:t>
            </w:r>
          </w:p>
        </w:tc>
        <w:tc>
          <w:tcPr>
            <w:tcW w:w="1316" w:type="dxa"/>
          </w:tcPr>
          <w:p w:rsidR="00AD48E2" w:rsidRPr="00534F3B" w:rsidRDefault="00AD48E2" w:rsidP="00F76C47">
            <w:pPr>
              <w:spacing w:before="40" w:after="40"/>
              <w:jc w:val="center"/>
              <w:rPr>
                <w:sz w:val="20"/>
                <w:szCs w:val="20"/>
              </w:rPr>
            </w:pPr>
            <w:r w:rsidRPr="00534F3B">
              <w:rPr>
                <w:sz w:val="20"/>
                <w:szCs w:val="20"/>
              </w:rPr>
              <w:t>207</w:t>
            </w:r>
          </w:p>
        </w:tc>
        <w:tc>
          <w:tcPr>
            <w:tcW w:w="1332" w:type="dxa"/>
          </w:tcPr>
          <w:p w:rsidR="00AD48E2" w:rsidRPr="00534F3B" w:rsidRDefault="00AD48E2" w:rsidP="00F76C47">
            <w:pPr>
              <w:spacing w:before="40" w:after="40"/>
              <w:jc w:val="center"/>
              <w:rPr>
                <w:sz w:val="20"/>
                <w:szCs w:val="20"/>
              </w:rPr>
            </w:pPr>
            <w:r w:rsidRPr="00534F3B">
              <w:rPr>
                <w:sz w:val="20"/>
                <w:szCs w:val="20"/>
              </w:rPr>
              <w:t>862</w:t>
            </w:r>
          </w:p>
        </w:tc>
        <w:tc>
          <w:tcPr>
            <w:tcW w:w="1695" w:type="dxa"/>
          </w:tcPr>
          <w:p w:rsidR="00AD48E2" w:rsidRPr="00534F3B" w:rsidRDefault="00AD48E2" w:rsidP="00F76C47">
            <w:pPr>
              <w:spacing w:before="40" w:after="40"/>
              <w:jc w:val="center"/>
              <w:rPr>
                <w:sz w:val="20"/>
                <w:szCs w:val="20"/>
              </w:rPr>
            </w:pPr>
            <w:r w:rsidRPr="00534F3B">
              <w:rPr>
                <w:sz w:val="20"/>
                <w:szCs w:val="20"/>
              </w:rPr>
              <w:t>2.053.304</w:t>
            </w:r>
          </w:p>
        </w:tc>
        <w:tc>
          <w:tcPr>
            <w:tcW w:w="1938" w:type="dxa"/>
          </w:tcPr>
          <w:p w:rsidR="00AD48E2" w:rsidRPr="00534F3B" w:rsidRDefault="00AD48E2" w:rsidP="00F76C47">
            <w:pPr>
              <w:spacing w:before="40" w:after="40"/>
              <w:jc w:val="center"/>
              <w:rPr>
                <w:sz w:val="20"/>
                <w:szCs w:val="20"/>
              </w:rPr>
            </w:pPr>
            <w:r w:rsidRPr="00534F3B">
              <w:rPr>
                <w:sz w:val="20"/>
                <w:szCs w:val="20"/>
              </w:rPr>
              <w:t>2.832.208,21</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316" w:type="dxa"/>
          </w:tcPr>
          <w:p w:rsidR="00AD48E2" w:rsidRPr="00534F3B" w:rsidRDefault="00AD48E2" w:rsidP="00F76C47">
            <w:pPr>
              <w:pStyle w:val="ListParagraph"/>
              <w:spacing w:before="40" w:after="40"/>
              <w:ind w:left="0"/>
              <w:contextualSpacing w:val="0"/>
              <w:jc w:val="center"/>
              <w:rPr>
                <w:sz w:val="20"/>
                <w:szCs w:val="20"/>
                <w:lang w:val="bg-BG"/>
              </w:rPr>
            </w:pPr>
            <w:r w:rsidRPr="00534F3B">
              <w:rPr>
                <w:sz w:val="20"/>
                <w:szCs w:val="20"/>
                <w:lang w:val="bg-BG"/>
              </w:rPr>
              <w:t>114</w:t>
            </w:r>
          </w:p>
        </w:tc>
        <w:tc>
          <w:tcPr>
            <w:tcW w:w="1332" w:type="dxa"/>
          </w:tcPr>
          <w:p w:rsidR="00AD48E2" w:rsidRPr="00534F3B" w:rsidRDefault="00AD48E2" w:rsidP="00F76C47">
            <w:pPr>
              <w:spacing w:before="40" w:after="40"/>
              <w:jc w:val="center"/>
              <w:rPr>
                <w:sz w:val="20"/>
                <w:szCs w:val="20"/>
              </w:rPr>
            </w:pPr>
            <w:r w:rsidRPr="00534F3B">
              <w:rPr>
                <w:sz w:val="20"/>
                <w:szCs w:val="20"/>
              </w:rPr>
              <w:t>327</w:t>
            </w:r>
          </w:p>
        </w:tc>
        <w:tc>
          <w:tcPr>
            <w:tcW w:w="1695" w:type="dxa"/>
          </w:tcPr>
          <w:p w:rsidR="00AD48E2" w:rsidRPr="00534F3B" w:rsidRDefault="00AD48E2" w:rsidP="00F76C47">
            <w:pPr>
              <w:spacing w:before="40" w:after="40"/>
              <w:jc w:val="center"/>
              <w:rPr>
                <w:sz w:val="20"/>
                <w:szCs w:val="20"/>
              </w:rPr>
            </w:pPr>
            <w:r w:rsidRPr="00534F3B">
              <w:rPr>
                <w:sz w:val="20"/>
                <w:szCs w:val="20"/>
              </w:rPr>
              <w:t>634.061</w:t>
            </w:r>
          </w:p>
        </w:tc>
        <w:tc>
          <w:tcPr>
            <w:tcW w:w="1938" w:type="dxa"/>
          </w:tcPr>
          <w:p w:rsidR="00AD48E2" w:rsidRPr="00534F3B" w:rsidRDefault="00AD48E2" w:rsidP="00F76C47">
            <w:pPr>
              <w:spacing w:before="40" w:after="40"/>
              <w:jc w:val="center"/>
              <w:rPr>
                <w:sz w:val="20"/>
                <w:szCs w:val="20"/>
              </w:rPr>
            </w:pPr>
            <w:r w:rsidRPr="00534F3B">
              <w:rPr>
                <w:sz w:val="20"/>
                <w:szCs w:val="20"/>
              </w:rPr>
              <w:t>575.953,54</w:t>
            </w:r>
          </w:p>
        </w:tc>
      </w:tr>
      <w:tr w:rsidR="00AD48E2" w:rsidRPr="00534F3B" w:rsidTr="00F76C47">
        <w:trPr>
          <w:trHeight w:val="20"/>
          <w:jc w:val="center"/>
        </w:trPr>
        <w:tc>
          <w:tcPr>
            <w:tcW w:w="2023" w:type="dxa"/>
          </w:tcPr>
          <w:p w:rsidR="00AD48E2" w:rsidRPr="00534F3B" w:rsidRDefault="00AD48E2" w:rsidP="00F76C47">
            <w:pPr>
              <w:spacing w:before="40" w:after="40"/>
              <w:rPr>
                <w:sz w:val="20"/>
                <w:szCs w:val="20"/>
              </w:rPr>
            </w:pPr>
            <w:r w:rsidRPr="00534F3B">
              <w:rPr>
                <w:sz w:val="20"/>
                <w:szCs w:val="20"/>
              </w:rPr>
              <w:t xml:space="preserve">Болкан енд </w:t>
            </w:r>
            <w:r w:rsidRPr="00534F3B">
              <w:rPr>
                <w:sz w:val="20"/>
                <w:szCs w:val="20"/>
              </w:rPr>
              <w:br/>
              <w:t>Сий Пропъртис</w:t>
            </w:r>
          </w:p>
        </w:tc>
        <w:tc>
          <w:tcPr>
            <w:tcW w:w="1316" w:type="dxa"/>
          </w:tcPr>
          <w:p w:rsidR="00AD48E2" w:rsidRPr="00534F3B" w:rsidRDefault="00AD48E2" w:rsidP="00F76C47">
            <w:pPr>
              <w:pStyle w:val="ListParagraph"/>
              <w:spacing w:before="40" w:after="40"/>
              <w:ind w:left="0"/>
              <w:contextualSpacing w:val="0"/>
              <w:jc w:val="center"/>
              <w:rPr>
                <w:sz w:val="20"/>
                <w:szCs w:val="20"/>
                <w:lang w:val="bg-BG"/>
              </w:rPr>
            </w:pPr>
            <w:r w:rsidRPr="00534F3B">
              <w:rPr>
                <w:sz w:val="20"/>
                <w:szCs w:val="20"/>
                <w:lang w:val="bg-BG"/>
              </w:rPr>
              <w:t>40</w:t>
            </w:r>
          </w:p>
        </w:tc>
        <w:tc>
          <w:tcPr>
            <w:tcW w:w="1332" w:type="dxa"/>
          </w:tcPr>
          <w:p w:rsidR="00AD48E2" w:rsidRPr="00534F3B" w:rsidRDefault="00AD48E2" w:rsidP="00F76C47">
            <w:pPr>
              <w:spacing w:before="40" w:after="40"/>
              <w:jc w:val="center"/>
              <w:rPr>
                <w:sz w:val="20"/>
                <w:szCs w:val="20"/>
              </w:rPr>
            </w:pPr>
            <w:r w:rsidRPr="00534F3B">
              <w:rPr>
                <w:sz w:val="20"/>
                <w:szCs w:val="20"/>
              </w:rPr>
              <w:t>91</w:t>
            </w:r>
          </w:p>
        </w:tc>
        <w:tc>
          <w:tcPr>
            <w:tcW w:w="1695" w:type="dxa"/>
          </w:tcPr>
          <w:p w:rsidR="00AD48E2" w:rsidRPr="00534F3B" w:rsidRDefault="00AD48E2" w:rsidP="00F76C47">
            <w:pPr>
              <w:spacing w:before="40" w:after="40"/>
              <w:jc w:val="center"/>
              <w:rPr>
                <w:sz w:val="20"/>
                <w:szCs w:val="20"/>
              </w:rPr>
            </w:pPr>
            <w:r w:rsidRPr="00534F3B">
              <w:rPr>
                <w:sz w:val="20"/>
                <w:szCs w:val="20"/>
              </w:rPr>
              <w:t>1.525.912</w:t>
            </w:r>
          </w:p>
        </w:tc>
        <w:tc>
          <w:tcPr>
            <w:tcW w:w="1938" w:type="dxa"/>
          </w:tcPr>
          <w:p w:rsidR="00AD48E2" w:rsidRPr="00534F3B" w:rsidRDefault="00AD48E2" w:rsidP="00F76C47">
            <w:pPr>
              <w:spacing w:before="40" w:after="40"/>
              <w:jc w:val="center"/>
              <w:rPr>
                <w:sz w:val="20"/>
                <w:szCs w:val="20"/>
              </w:rPr>
            </w:pPr>
            <w:r w:rsidRPr="00534F3B">
              <w:rPr>
                <w:sz w:val="20"/>
                <w:szCs w:val="20"/>
              </w:rPr>
              <w:t>21.872.619,99</w:t>
            </w:r>
          </w:p>
        </w:tc>
      </w:tr>
    </w:tbl>
    <w:p w:rsidR="00AD48E2" w:rsidRPr="00534F3B" w:rsidRDefault="00AD48E2" w:rsidP="00AD48E2">
      <w:pPr>
        <w:spacing w:line="300" w:lineRule="exact"/>
        <w:ind w:firstLine="284"/>
        <w:jc w:val="both"/>
        <w:rPr>
          <w:sz w:val="22"/>
          <w:szCs w:val="22"/>
        </w:rPr>
      </w:pPr>
    </w:p>
    <w:p w:rsidR="00AD48E2" w:rsidRPr="00534F3B" w:rsidRDefault="00AD48E2" w:rsidP="00AD48E2">
      <w:pPr>
        <w:spacing w:line="300" w:lineRule="exact"/>
        <w:ind w:firstLine="284"/>
        <w:jc w:val="both"/>
        <w:rPr>
          <w:b/>
          <w:i/>
          <w:sz w:val="22"/>
          <w:szCs w:val="22"/>
        </w:rPr>
      </w:pPr>
      <w:r w:rsidRPr="00534F3B">
        <w:rPr>
          <w:sz w:val="22"/>
          <w:szCs w:val="22"/>
        </w:rPr>
        <w:t xml:space="preserve">Според всеки от четирите търговски индикатори за пазарна ликвидност </w:t>
      </w:r>
      <w:r w:rsidRPr="00534F3B">
        <w:rPr>
          <w:i/>
          <w:sz w:val="22"/>
          <w:szCs w:val="22"/>
        </w:rPr>
        <w:t>Софарма АД</w:t>
      </w:r>
      <w:r w:rsidRPr="00534F3B">
        <w:rPr>
          <w:sz w:val="22"/>
          <w:szCs w:val="22"/>
        </w:rPr>
        <w:t xml:space="preserve"> има абс</w:t>
      </w:r>
      <w:r w:rsidRPr="00534F3B">
        <w:rPr>
          <w:sz w:val="22"/>
          <w:szCs w:val="22"/>
        </w:rPr>
        <w:t>о</w:t>
      </w:r>
      <w:r w:rsidRPr="00534F3B">
        <w:rPr>
          <w:sz w:val="22"/>
          <w:szCs w:val="22"/>
        </w:rPr>
        <w:t xml:space="preserve">лютно лидерство. С незначителна разлика по три от водещите търговски индикатори второто място се заема от </w:t>
      </w:r>
      <w:r w:rsidRPr="00534F3B">
        <w:rPr>
          <w:i/>
          <w:sz w:val="22"/>
          <w:szCs w:val="22"/>
        </w:rPr>
        <w:t xml:space="preserve">Доверие Обединен Холдинг </w:t>
      </w:r>
      <w:r w:rsidRPr="00534F3B">
        <w:rPr>
          <w:sz w:val="22"/>
          <w:szCs w:val="22"/>
        </w:rPr>
        <w:t>(Табл. 6.)</w:t>
      </w:r>
      <w:r w:rsidRPr="00534F3B">
        <w:rPr>
          <w:i/>
          <w:sz w:val="22"/>
          <w:szCs w:val="22"/>
        </w:rPr>
        <w:t xml:space="preserve">. </w:t>
      </w:r>
      <w:r w:rsidRPr="00534F3B">
        <w:rPr>
          <w:sz w:val="22"/>
          <w:szCs w:val="22"/>
        </w:rPr>
        <w:t xml:space="preserve">С най-ниски стойности на търговските дни и броя сделки е </w:t>
      </w:r>
      <w:r w:rsidRPr="00534F3B">
        <w:rPr>
          <w:i/>
          <w:sz w:val="22"/>
          <w:szCs w:val="22"/>
        </w:rPr>
        <w:t>Болкан енд Сий Пропъртис,</w:t>
      </w:r>
      <w:r w:rsidRPr="00534F3B">
        <w:rPr>
          <w:sz w:val="22"/>
          <w:szCs w:val="22"/>
        </w:rPr>
        <w:t xml:space="preserve"> а с най-нисък борсов обем и оборот е</w:t>
      </w:r>
      <w:r w:rsidRPr="00534F3B">
        <w:rPr>
          <w:i/>
          <w:sz w:val="22"/>
          <w:szCs w:val="22"/>
        </w:rPr>
        <w:t xml:space="preserve"> Спарки Елтос.</w:t>
      </w:r>
    </w:p>
    <w:p w:rsidR="00AD48E2" w:rsidRPr="00534F3B" w:rsidRDefault="00AD48E2" w:rsidP="00AD48E2">
      <w:pPr>
        <w:spacing w:line="300" w:lineRule="exact"/>
        <w:ind w:firstLine="284"/>
        <w:jc w:val="both"/>
        <w:rPr>
          <w:b/>
          <w:i/>
          <w:sz w:val="22"/>
          <w:szCs w:val="22"/>
        </w:rPr>
      </w:pPr>
    </w:p>
    <w:p w:rsidR="00AD48E2" w:rsidRPr="00534F3B" w:rsidRDefault="00AD48E2" w:rsidP="00AD48E2">
      <w:pPr>
        <w:spacing w:line="300" w:lineRule="exact"/>
        <w:ind w:firstLine="284"/>
        <w:jc w:val="both"/>
        <w:rPr>
          <w:b/>
          <w:sz w:val="22"/>
          <w:szCs w:val="22"/>
        </w:rPr>
      </w:pPr>
      <w:r w:rsidRPr="00534F3B">
        <w:rPr>
          <w:b/>
          <w:sz w:val="22"/>
          <w:szCs w:val="22"/>
        </w:rPr>
        <w:t>2.3. Среднодневни стойности на търговските индикатори за пазарна ликвидност</w:t>
      </w:r>
    </w:p>
    <w:p w:rsidR="00AD48E2" w:rsidRPr="00534F3B" w:rsidRDefault="00AD48E2" w:rsidP="00AD48E2">
      <w:pPr>
        <w:spacing w:line="300" w:lineRule="exact"/>
        <w:ind w:firstLine="284"/>
        <w:jc w:val="both"/>
        <w:rPr>
          <w:sz w:val="22"/>
          <w:szCs w:val="22"/>
        </w:rPr>
      </w:pPr>
      <w:r w:rsidRPr="00534F3B">
        <w:rPr>
          <w:sz w:val="22"/>
          <w:szCs w:val="22"/>
        </w:rPr>
        <w:t>Като база за изчисляване на среднодневните стойности на инди</w:t>
      </w:r>
      <w:r w:rsidRPr="00534F3B">
        <w:rPr>
          <w:sz w:val="22"/>
          <w:szCs w:val="22"/>
        </w:rPr>
        <w:softHyphen/>
        <w:t>каторите поставяме общия брой борсови дни за изследвания период, (26.08.2016 – 22.12.2017), които според търговския календар на БФБ</w:t>
      </w:r>
      <w:r w:rsidRPr="00534F3B">
        <w:rPr>
          <w:sz w:val="22"/>
          <w:szCs w:val="22"/>
          <w:vertAlign w:val="superscript"/>
        </w:rPr>
        <w:footnoteReference w:id="10"/>
      </w:r>
      <w:r w:rsidRPr="00534F3B">
        <w:rPr>
          <w:sz w:val="22"/>
          <w:szCs w:val="22"/>
        </w:rPr>
        <w:t xml:space="preserve"> са 332 (триста тридесет и два).</w:t>
      </w:r>
    </w:p>
    <w:p w:rsidR="00AD48E2" w:rsidRPr="00534F3B" w:rsidRDefault="00AD48E2" w:rsidP="00AD48E2">
      <w:pPr>
        <w:pStyle w:val="FIG"/>
      </w:pPr>
      <w:r w:rsidRPr="00534F3B">
        <w:t>Таблица 7. Търговски индикатори за пазарна ликвидност, среднодневни стойности</w:t>
      </w:r>
    </w:p>
    <w:tbl>
      <w:tblPr>
        <w:tblStyle w:val="TableGrid"/>
        <w:tblW w:w="9469" w:type="dxa"/>
        <w:jc w:val="center"/>
        <w:tblCellMar>
          <w:left w:w="57" w:type="dxa"/>
          <w:right w:w="57" w:type="dxa"/>
        </w:tblCellMar>
        <w:tblLook w:val="04A0" w:firstRow="1" w:lastRow="0" w:firstColumn="1" w:lastColumn="0" w:noHBand="0" w:noVBand="1"/>
      </w:tblPr>
      <w:tblGrid>
        <w:gridCol w:w="2465"/>
        <w:gridCol w:w="1974"/>
        <w:gridCol w:w="2491"/>
        <w:gridCol w:w="2539"/>
      </w:tblGrid>
      <w:tr w:rsidR="00AD48E2" w:rsidRPr="00534F3B" w:rsidTr="00F76C47">
        <w:trPr>
          <w:trHeight w:val="20"/>
          <w:jc w:val="center"/>
        </w:trPr>
        <w:tc>
          <w:tcPr>
            <w:tcW w:w="2465" w:type="dxa"/>
          </w:tcPr>
          <w:p w:rsidR="00AD48E2" w:rsidRPr="00534F3B" w:rsidRDefault="00AD48E2" w:rsidP="00F76C47">
            <w:pPr>
              <w:spacing w:before="40" w:after="40"/>
              <w:jc w:val="center"/>
              <w:rPr>
                <w:sz w:val="20"/>
                <w:szCs w:val="20"/>
              </w:rPr>
            </w:pPr>
            <w:r w:rsidRPr="00534F3B">
              <w:rPr>
                <w:sz w:val="20"/>
                <w:szCs w:val="20"/>
              </w:rPr>
              <w:t>Дружество</w:t>
            </w:r>
          </w:p>
        </w:tc>
        <w:tc>
          <w:tcPr>
            <w:tcW w:w="1974" w:type="dxa"/>
          </w:tcPr>
          <w:p w:rsidR="00AD48E2" w:rsidRPr="00534F3B" w:rsidRDefault="00AD48E2" w:rsidP="00F76C47">
            <w:pPr>
              <w:spacing w:before="40" w:after="40"/>
              <w:jc w:val="center"/>
              <w:rPr>
                <w:sz w:val="20"/>
                <w:szCs w:val="20"/>
              </w:rPr>
            </w:pPr>
            <w:r w:rsidRPr="00534F3B">
              <w:rPr>
                <w:sz w:val="20"/>
                <w:szCs w:val="20"/>
              </w:rPr>
              <w:t>Средно</w:t>
            </w:r>
            <w:r w:rsidRPr="00534F3B">
              <w:rPr>
                <w:sz w:val="20"/>
                <w:szCs w:val="20"/>
              </w:rPr>
              <w:softHyphen/>
              <w:t xml:space="preserve">дневен </w:t>
            </w:r>
            <w:r w:rsidRPr="00534F3B">
              <w:rPr>
                <w:sz w:val="20"/>
                <w:szCs w:val="20"/>
              </w:rPr>
              <w:br/>
              <w:t>брой сделки</w:t>
            </w:r>
          </w:p>
        </w:tc>
        <w:tc>
          <w:tcPr>
            <w:tcW w:w="2491" w:type="dxa"/>
          </w:tcPr>
          <w:p w:rsidR="00AD48E2" w:rsidRPr="00534F3B" w:rsidRDefault="00AD48E2" w:rsidP="00F76C47">
            <w:pPr>
              <w:spacing w:before="40" w:after="40"/>
              <w:jc w:val="center"/>
              <w:rPr>
                <w:sz w:val="20"/>
                <w:szCs w:val="20"/>
              </w:rPr>
            </w:pPr>
            <w:r w:rsidRPr="00534F3B">
              <w:rPr>
                <w:sz w:val="20"/>
                <w:szCs w:val="20"/>
              </w:rPr>
              <w:t>Средно</w:t>
            </w:r>
            <w:r w:rsidRPr="00534F3B">
              <w:rPr>
                <w:sz w:val="20"/>
                <w:szCs w:val="20"/>
              </w:rPr>
              <w:softHyphen/>
              <w:t>дневен търгуван обем (брой акции)</w:t>
            </w:r>
          </w:p>
        </w:tc>
        <w:tc>
          <w:tcPr>
            <w:tcW w:w="2539" w:type="dxa"/>
          </w:tcPr>
          <w:p w:rsidR="00AD48E2" w:rsidRPr="00534F3B" w:rsidRDefault="00AD48E2" w:rsidP="00F76C47">
            <w:pPr>
              <w:spacing w:before="40" w:after="40"/>
              <w:jc w:val="center"/>
              <w:rPr>
                <w:sz w:val="20"/>
                <w:szCs w:val="20"/>
              </w:rPr>
            </w:pPr>
            <w:r w:rsidRPr="00534F3B">
              <w:rPr>
                <w:sz w:val="20"/>
                <w:szCs w:val="20"/>
              </w:rPr>
              <w:t>Средно</w:t>
            </w:r>
            <w:r w:rsidRPr="00534F3B">
              <w:rPr>
                <w:sz w:val="20"/>
                <w:szCs w:val="20"/>
              </w:rPr>
              <w:softHyphen/>
              <w:t xml:space="preserve">дневен борсов </w:t>
            </w:r>
            <w:r w:rsidRPr="00534F3B">
              <w:rPr>
                <w:sz w:val="20"/>
                <w:szCs w:val="20"/>
              </w:rPr>
              <w:br/>
              <w:t>оборот (лв.)</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Софарма</w:t>
            </w:r>
          </w:p>
        </w:tc>
        <w:tc>
          <w:tcPr>
            <w:tcW w:w="1974" w:type="dxa"/>
          </w:tcPr>
          <w:p w:rsidR="00AD48E2" w:rsidRPr="00534F3B" w:rsidRDefault="00AD48E2" w:rsidP="00F76C47">
            <w:pPr>
              <w:spacing w:before="40" w:after="40"/>
              <w:jc w:val="center"/>
              <w:rPr>
                <w:sz w:val="20"/>
                <w:szCs w:val="20"/>
              </w:rPr>
            </w:pPr>
            <w:r w:rsidRPr="00534F3B">
              <w:rPr>
                <w:sz w:val="20"/>
                <w:szCs w:val="20"/>
              </w:rPr>
              <w:t>14,68</w:t>
            </w:r>
          </w:p>
        </w:tc>
        <w:tc>
          <w:tcPr>
            <w:tcW w:w="2491" w:type="dxa"/>
          </w:tcPr>
          <w:p w:rsidR="00AD48E2" w:rsidRPr="00534F3B" w:rsidRDefault="00AD48E2" w:rsidP="00F76C47">
            <w:pPr>
              <w:spacing w:before="40" w:after="40"/>
              <w:jc w:val="center"/>
              <w:rPr>
                <w:sz w:val="20"/>
                <w:szCs w:val="20"/>
              </w:rPr>
            </w:pPr>
            <w:r w:rsidRPr="00534F3B">
              <w:rPr>
                <w:sz w:val="20"/>
                <w:szCs w:val="20"/>
              </w:rPr>
              <w:t>84.013,31</w:t>
            </w:r>
          </w:p>
        </w:tc>
        <w:tc>
          <w:tcPr>
            <w:tcW w:w="2539" w:type="dxa"/>
          </w:tcPr>
          <w:p w:rsidR="00AD48E2" w:rsidRPr="00534F3B" w:rsidRDefault="00AD48E2" w:rsidP="00F76C47">
            <w:pPr>
              <w:spacing w:before="40" w:after="40"/>
              <w:jc w:val="center"/>
              <w:rPr>
                <w:sz w:val="20"/>
                <w:szCs w:val="20"/>
              </w:rPr>
            </w:pPr>
            <w:r w:rsidRPr="00534F3B">
              <w:rPr>
                <w:sz w:val="20"/>
                <w:szCs w:val="20"/>
              </w:rPr>
              <w:t>325.144,92</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Доверие Обеди</w:t>
            </w:r>
            <w:r w:rsidRPr="00534F3B">
              <w:rPr>
                <w:sz w:val="20"/>
                <w:szCs w:val="20"/>
              </w:rPr>
              <w:softHyphen/>
              <w:t>нен Холд.</w:t>
            </w:r>
          </w:p>
        </w:tc>
        <w:tc>
          <w:tcPr>
            <w:tcW w:w="1974" w:type="dxa"/>
          </w:tcPr>
          <w:p w:rsidR="00AD48E2" w:rsidRPr="00534F3B" w:rsidRDefault="00AD48E2" w:rsidP="00F76C47">
            <w:pPr>
              <w:spacing w:before="40" w:after="40"/>
              <w:jc w:val="center"/>
              <w:rPr>
                <w:sz w:val="20"/>
                <w:szCs w:val="20"/>
              </w:rPr>
            </w:pPr>
            <w:r w:rsidRPr="00534F3B">
              <w:rPr>
                <w:sz w:val="20"/>
                <w:szCs w:val="20"/>
              </w:rPr>
              <w:t>13,05</w:t>
            </w:r>
          </w:p>
        </w:tc>
        <w:tc>
          <w:tcPr>
            <w:tcW w:w="2491" w:type="dxa"/>
          </w:tcPr>
          <w:p w:rsidR="00AD48E2" w:rsidRPr="00534F3B" w:rsidRDefault="00AD48E2" w:rsidP="00F76C47">
            <w:pPr>
              <w:spacing w:before="40" w:after="40"/>
              <w:jc w:val="center"/>
              <w:rPr>
                <w:sz w:val="20"/>
                <w:szCs w:val="20"/>
              </w:rPr>
            </w:pPr>
            <w:r w:rsidRPr="00534F3B">
              <w:rPr>
                <w:sz w:val="20"/>
                <w:szCs w:val="20"/>
              </w:rPr>
              <w:t>27.914,72</w:t>
            </w:r>
          </w:p>
        </w:tc>
        <w:tc>
          <w:tcPr>
            <w:tcW w:w="2539" w:type="dxa"/>
          </w:tcPr>
          <w:p w:rsidR="00AD48E2" w:rsidRPr="00534F3B" w:rsidRDefault="00AD48E2" w:rsidP="00F76C47">
            <w:pPr>
              <w:spacing w:before="40" w:after="40"/>
              <w:jc w:val="center"/>
              <w:rPr>
                <w:sz w:val="20"/>
                <w:szCs w:val="20"/>
              </w:rPr>
            </w:pPr>
            <w:r w:rsidRPr="00534F3B">
              <w:rPr>
                <w:sz w:val="20"/>
                <w:szCs w:val="20"/>
              </w:rPr>
              <w:t>46.587,07</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Спарки Елтос</w:t>
            </w:r>
          </w:p>
        </w:tc>
        <w:tc>
          <w:tcPr>
            <w:tcW w:w="1974" w:type="dxa"/>
          </w:tcPr>
          <w:p w:rsidR="00AD48E2" w:rsidRPr="00534F3B" w:rsidRDefault="00AD48E2" w:rsidP="00F76C47">
            <w:pPr>
              <w:spacing w:before="40" w:after="40"/>
              <w:jc w:val="center"/>
              <w:rPr>
                <w:sz w:val="20"/>
                <w:szCs w:val="20"/>
              </w:rPr>
            </w:pPr>
            <w:r w:rsidRPr="00534F3B">
              <w:rPr>
                <w:sz w:val="20"/>
                <w:szCs w:val="20"/>
              </w:rPr>
              <w:t>1,08</w:t>
            </w:r>
          </w:p>
        </w:tc>
        <w:tc>
          <w:tcPr>
            <w:tcW w:w="2491" w:type="dxa"/>
          </w:tcPr>
          <w:p w:rsidR="00AD48E2" w:rsidRPr="00534F3B" w:rsidRDefault="00AD48E2" w:rsidP="00F76C47">
            <w:pPr>
              <w:spacing w:before="40" w:after="40"/>
              <w:jc w:val="center"/>
              <w:rPr>
                <w:sz w:val="20"/>
                <w:szCs w:val="20"/>
              </w:rPr>
            </w:pPr>
            <w:r w:rsidRPr="00534F3B">
              <w:rPr>
                <w:sz w:val="20"/>
                <w:szCs w:val="20"/>
              </w:rPr>
              <w:t>861,45</w:t>
            </w:r>
          </w:p>
        </w:tc>
        <w:tc>
          <w:tcPr>
            <w:tcW w:w="2539" w:type="dxa"/>
          </w:tcPr>
          <w:p w:rsidR="00AD48E2" w:rsidRPr="00534F3B" w:rsidRDefault="00AD48E2" w:rsidP="00F76C47">
            <w:pPr>
              <w:spacing w:before="40" w:after="40"/>
              <w:jc w:val="center"/>
              <w:rPr>
                <w:sz w:val="20"/>
                <w:szCs w:val="20"/>
              </w:rPr>
            </w:pPr>
            <w:r w:rsidRPr="00534F3B">
              <w:rPr>
                <w:sz w:val="20"/>
                <w:szCs w:val="20"/>
              </w:rPr>
              <w:t>421,61</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Първа Инвест.Банка</w:t>
            </w:r>
          </w:p>
        </w:tc>
        <w:tc>
          <w:tcPr>
            <w:tcW w:w="1974" w:type="dxa"/>
          </w:tcPr>
          <w:p w:rsidR="00AD48E2" w:rsidRPr="00534F3B" w:rsidRDefault="00AD48E2" w:rsidP="00F76C47">
            <w:pPr>
              <w:spacing w:before="40" w:after="40"/>
              <w:jc w:val="center"/>
              <w:rPr>
                <w:sz w:val="20"/>
                <w:szCs w:val="20"/>
              </w:rPr>
            </w:pPr>
            <w:r w:rsidRPr="00534F3B">
              <w:rPr>
                <w:sz w:val="20"/>
                <w:szCs w:val="20"/>
              </w:rPr>
              <w:t>11,20</w:t>
            </w:r>
          </w:p>
        </w:tc>
        <w:tc>
          <w:tcPr>
            <w:tcW w:w="2491" w:type="dxa"/>
          </w:tcPr>
          <w:p w:rsidR="00AD48E2" w:rsidRPr="00534F3B" w:rsidRDefault="00AD48E2" w:rsidP="00F76C47">
            <w:pPr>
              <w:spacing w:before="40" w:after="40"/>
              <w:jc w:val="center"/>
              <w:rPr>
                <w:sz w:val="20"/>
                <w:szCs w:val="20"/>
              </w:rPr>
            </w:pPr>
            <w:r w:rsidRPr="00534F3B">
              <w:rPr>
                <w:sz w:val="20"/>
                <w:szCs w:val="20"/>
              </w:rPr>
              <w:t>11.358,23</w:t>
            </w:r>
          </w:p>
        </w:tc>
        <w:tc>
          <w:tcPr>
            <w:tcW w:w="2539" w:type="dxa"/>
          </w:tcPr>
          <w:p w:rsidR="00AD48E2" w:rsidRPr="00534F3B" w:rsidRDefault="00AD48E2" w:rsidP="00F76C47">
            <w:pPr>
              <w:spacing w:before="40" w:after="40"/>
              <w:jc w:val="center"/>
              <w:rPr>
                <w:sz w:val="20"/>
                <w:szCs w:val="20"/>
              </w:rPr>
            </w:pPr>
            <w:r w:rsidRPr="00534F3B">
              <w:rPr>
                <w:sz w:val="20"/>
                <w:szCs w:val="20"/>
              </w:rPr>
              <w:t>43.837,89</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Елана Агрокредит</w:t>
            </w:r>
          </w:p>
        </w:tc>
        <w:tc>
          <w:tcPr>
            <w:tcW w:w="1974" w:type="dxa"/>
          </w:tcPr>
          <w:p w:rsidR="00AD48E2" w:rsidRPr="00534F3B" w:rsidRDefault="00AD48E2" w:rsidP="00F76C47">
            <w:pPr>
              <w:spacing w:before="40" w:after="40"/>
              <w:jc w:val="center"/>
              <w:rPr>
                <w:sz w:val="20"/>
                <w:szCs w:val="20"/>
              </w:rPr>
            </w:pPr>
            <w:r w:rsidRPr="00534F3B">
              <w:rPr>
                <w:sz w:val="20"/>
                <w:szCs w:val="20"/>
              </w:rPr>
              <w:t>2,60</w:t>
            </w:r>
          </w:p>
        </w:tc>
        <w:tc>
          <w:tcPr>
            <w:tcW w:w="2491" w:type="dxa"/>
          </w:tcPr>
          <w:p w:rsidR="00AD48E2" w:rsidRPr="00534F3B" w:rsidRDefault="00AD48E2" w:rsidP="00F76C47">
            <w:pPr>
              <w:spacing w:before="40" w:after="40"/>
              <w:jc w:val="center"/>
              <w:rPr>
                <w:sz w:val="20"/>
                <w:szCs w:val="20"/>
              </w:rPr>
            </w:pPr>
            <w:r w:rsidRPr="00534F3B">
              <w:rPr>
                <w:sz w:val="20"/>
                <w:szCs w:val="20"/>
              </w:rPr>
              <w:t>6.184,65</w:t>
            </w:r>
          </w:p>
        </w:tc>
        <w:tc>
          <w:tcPr>
            <w:tcW w:w="2539" w:type="dxa"/>
          </w:tcPr>
          <w:p w:rsidR="00AD48E2" w:rsidRPr="00534F3B" w:rsidRDefault="00AD48E2" w:rsidP="00F76C47">
            <w:pPr>
              <w:spacing w:before="40" w:after="40"/>
              <w:jc w:val="center"/>
              <w:rPr>
                <w:sz w:val="20"/>
                <w:szCs w:val="20"/>
              </w:rPr>
            </w:pPr>
            <w:r w:rsidRPr="00534F3B">
              <w:rPr>
                <w:sz w:val="20"/>
                <w:szCs w:val="20"/>
              </w:rPr>
              <w:t>8.530,75</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974" w:type="dxa"/>
          </w:tcPr>
          <w:p w:rsidR="00AD48E2" w:rsidRPr="00534F3B" w:rsidRDefault="00AD48E2" w:rsidP="00F76C47">
            <w:pPr>
              <w:spacing w:before="40" w:after="40"/>
              <w:jc w:val="center"/>
              <w:rPr>
                <w:sz w:val="20"/>
                <w:szCs w:val="20"/>
              </w:rPr>
            </w:pPr>
            <w:r w:rsidRPr="00534F3B">
              <w:rPr>
                <w:sz w:val="20"/>
                <w:szCs w:val="20"/>
              </w:rPr>
              <w:t>0,99</w:t>
            </w:r>
          </w:p>
        </w:tc>
        <w:tc>
          <w:tcPr>
            <w:tcW w:w="2491" w:type="dxa"/>
          </w:tcPr>
          <w:p w:rsidR="00AD48E2" w:rsidRPr="00534F3B" w:rsidRDefault="00AD48E2" w:rsidP="00F76C47">
            <w:pPr>
              <w:spacing w:before="40" w:after="40"/>
              <w:jc w:val="center"/>
              <w:rPr>
                <w:sz w:val="20"/>
                <w:szCs w:val="20"/>
              </w:rPr>
            </w:pPr>
            <w:r w:rsidRPr="00534F3B">
              <w:rPr>
                <w:sz w:val="20"/>
                <w:szCs w:val="20"/>
              </w:rPr>
              <w:t>1.910,00</w:t>
            </w:r>
          </w:p>
        </w:tc>
        <w:tc>
          <w:tcPr>
            <w:tcW w:w="2539" w:type="dxa"/>
          </w:tcPr>
          <w:p w:rsidR="00AD48E2" w:rsidRPr="00534F3B" w:rsidRDefault="00AD48E2" w:rsidP="00F76C47">
            <w:pPr>
              <w:spacing w:before="40" w:after="40"/>
              <w:jc w:val="center"/>
              <w:rPr>
                <w:sz w:val="20"/>
                <w:szCs w:val="20"/>
              </w:rPr>
            </w:pPr>
            <w:r w:rsidRPr="00534F3B">
              <w:rPr>
                <w:sz w:val="20"/>
                <w:szCs w:val="20"/>
              </w:rPr>
              <w:t>1.735,00</w:t>
            </w:r>
          </w:p>
        </w:tc>
      </w:tr>
      <w:tr w:rsidR="00AD48E2" w:rsidRPr="00534F3B" w:rsidTr="00F76C47">
        <w:trPr>
          <w:trHeight w:val="20"/>
          <w:jc w:val="center"/>
        </w:trPr>
        <w:tc>
          <w:tcPr>
            <w:tcW w:w="2465" w:type="dxa"/>
          </w:tcPr>
          <w:p w:rsidR="00AD48E2" w:rsidRPr="00534F3B" w:rsidRDefault="00AD48E2" w:rsidP="00F76C47">
            <w:pPr>
              <w:spacing w:before="40" w:after="40"/>
              <w:rPr>
                <w:sz w:val="20"/>
                <w:szCs w:val="20"/>
              </w:rPr>
            </w:pPr>
            <w:r w:rsidRPr="00534F3B">
              <w:rPr>
                <w:sz w:val="20"/>
                <w:szCs w:val="20"/>
              </w:rPr>
              <w:t>Болкан енд Сий Проп.</w:t>
            </w:r>
          </w:p>
        </w:tc>
        <w:tc>
          <w:tcPr>
            <w:tcW w:w="1974" w:type="dxa"/>
          </w:tcPr>
          <w:p w:rsidR="00AD48E2" w:rsidRPr="00534F3B" w:rsidRDefault="00AD48E2" w:rsidP="00F76C47">
            <w:pPr>
              <w:spacing w:before="40" w:after="40"/>
              <w:jc w:val="center"/>
              <w:rPr>
                <w:sz w:val="20"/>
                <w:szCs w:val="20"/>
              </w:rPr>
            </w:pPr>
            <w:r w:rsidRPr="00534F3B">
              <w:rPr>
                <w:sz w:val="20"/>
                <w:szCs w:val="20"/>
              </w:rPr>
              <w:t>0,27</w:t>
            </w:r>
          </w:p>
        </w:tc>
        <w:tc>
          <w:tcPr>
            <w:tcW w:w="2491" w:type="dxa"/>
          </w:tcPr>
          <w:p w:rsidR="00AD48E2" w:rsidRPr="00534F3B" w:rsidRDefault="00AD48E2" w:rsidP="00F76C47">
            <w:pPr>
              <w:spacing w:before="40" w:after="40"/>
              <w:jc w:val="center"/>
              <w:rPr>
                <w:sz w:val="20"/>
                <w:szCs w:val="20"/>
              </w:rPr>
            </w:pPr>
            <w:r w:rsidRPr="00534F3B">
              <w:rPr>
                <w:sz w:val="20"/>
                <w:szCs w:val="20"/>
              </w:rPr>
              <w:t>4.596,12</w:t>
            </w:r>
          </w:p>
        </w:tc>
        <w:tc>
          <w:tcPr>
            <w:tcW w:w="2539" w:type="dxa"/>
          </w:tcPr>
          <w:p w:rsidR="00AD48E2" w:rsidRPr="00534F3B" w:rsidRDefault="00AD48E2" w:rsidP="00F76C47">
            <w:pPr>
              <w:spacing w:before="40" w:after="40"/>
              <w:jc w:val="center"/>
              <w:rPr>
                <w:sz w:val="20"/>
                <w:szCs w:val="20"/>
              </w:rPr>
            </w:pPr>
            <w:r w:rsidRPr="00534F3B">
              <w:rPr>
                <w:sz w:val="20"/>
                <w:szCs w:val="20"/>
              </w:rPr>
              <w:t>65.881,39</w:t>
            </w:r>
          </w:p>
        </w:tc>
      </w:tr>
    </w:tbl>
    <w:p w:rsidR="00AD48E2" w:rsidRPr="00534F3B" w:rsidRDefault="00AD48E2" w:rsidP="00AD48E2">
      <w:pPr>
        <w:spacing w:line="300" w:lineRule="exact"/>
        <w:ind w:firstLine="284"/>
        <w:jc w:val="both"/>
        <w:rPr>
          <w:sz w:val="22"/>
          <w:szCs w:val="22"/>
        </w:rPr>
      </w:pPr>
    </w:p>
    <w:p w:rsidR="00AD48E2" w:rsidRPr="00534F3B" w:rsidRDefault="00AD48E2" w:rsidP="00AD48E2">
      <w:pPr>
        <w:spacing w:line="300" w:lineRule="exact"/>
        <w:ind w:firstLine="284"/>
        <w:jc w:val="both"/>
        <w:rPr>
          <w:sz w:val="22"/>
          <w:szCs w:val="22"/>
        </w:rPr>
      </w:pPr>
      <w:r w:rsidRPr="00534F3B">
        <w:rPr>
          <w:sz w:val="22"/>
          <w:szCs w:val="22"/>
        </w:rPr>
        <w:lastRenderedPageBreak/>
        <w:t>Независимо от категоричността на първичните индикатори, формирането на обективен инве</w:t>
      </w:r>
      <w:r w:rsidRPr="00534F3B">
        <w:rPr>
          <w:sz w:val="22"/>
          <w:szCs w:val="22"/>
        </w:rPr>
        <w:t>с</w:t>
      </w:r>
      <w:r w:rsidRPr="00534F3B">
        <w:rPr>
          <w:sz w:val="22"/>
          <w:szCs w:val="22"/>
        </w:rPr>
        <w:t>тиционен профил, не следва да се ограничава само до тях. Техните стойностите трябва да бъдат съпоставени с тези на аналитичните показатели.</w:t>
      </w:r>
    </w:p>
    <w:p w:rsidR="00AD48E2" w:rsidRPr="00534F3B" w:rsidRDefault="00AD48E2" w:rsidP="00AD48E2">
      <w:pPr>
        <w:spacing w:line="300" w:lineRule="exact"/>
        <w:ind w:firstLine="284"/>
        <w:jc w:val="both"/>
        <w:rPr>
          <w:b/>
          <w:sz w:val="22"/>
          <w:szCs w:val="22"/>
        </w:rPr>
      </w:pPr>
    </w:p>
    <w:p w:rsidR="00AD48E2" w:rsidRPr="00534F3B" w:rsidRDefault="00AD48E2" w:rsidP="00AD48E2">
      <w:pPr>
        <w:pStyle w:val="Heading3"/>
      </w:pPr>
      <w:r w:rsidRPr="00534F3B">
        <w:t>3. Показатели за пазарна ликвидност на дружествата</w:t>
      </w:r>
    </w:p>
    <w:p w:rsidR="00AD48E2" w:rsidRPr="00534F3B" w:rsidRDefault="00AD48E2" w:rsidP="00AD48E2">
      <w:pPr>
        <w:spacing w:line="300" w:lineRule="exact"/>
        <w:ind w:firstLine="284"/>
        <w:jc w:val="both"/>
        <w:rPr>
          <w:sz w:val="22"/>
          <w:szCs w:val="22"/>
        </w:rPr>
      </w:pPr>
      <w:r w:rsidRPr="00534F3B">
        <w:rPr>
          <w:sz w:val="22"/>
          <w:szCs w:val="22"/>
        </w:rPr>
        <w:t>Към показателите за пазарна ликвидност на дружествата също прилагаме няколко нови коеф</w:t>
      </w:r>
      <w:r w:rsidRPr="00534F3B">
        <w:rPr>
          <w:sz w:val="22"/>
          <w:szCs w:val="22"/>
        </w:rPr>
        <w:t>и</w:t>
      </w:r>
      <w:r w:rsidRPr="00534F3B">
        <w:rPr>
          <w:sz w:val="22"/>
          <w:szCs w:val="22"/>
        </w:rPr>
        <w:t>циента, които поставят една по-пълна и обективна характеристика на пазарната ликвидност. На първо място сред аналитичните показатели за пазарна ликвидност извеждаме един елементарен измерител, който не се среща в учебните издания по инвестиции</w:t>
      </w:r>
      <w:r w:rsidRPr="00534F3B">
        <w:rPr>
          <w:rStyle w:val="FootnoteReference"/>
          <w:sz w:val="22"/>
          <w:szCs w:val="22"/>
        </w:rPr>
        <w:footnoteReference w:id="11"/>
      </w:r>
      <w:r w:rsidRPr="00534F3B">
        <w:rPr>
          <w:sz w:val="22"/>
          <w:szCs w:val="22"/>
        </w:rPr>
        <w:t>, нито в професионалните анал</w:t>
      </w:r>
      <w:r w:rsidRPr="00534F3B">
        <w:rPr>
          <w:sz w:val="22"/>
          <w:szCs w:val="22"/>
        </w:rPr>
        <w:t>и</w:t>
      </w:r>
      <w:r w:rsidRPr="00534F3B">
        <w:rPr>
          <w:sz w:val="22"/>
          <w:szCs w:val="22"/>
        </w:rPr>
        <w:t>зи за борсовия пазар. Броят на търгуваните дни, представен като коефициент спрямо общия брой борсови дни за изследвания период е изключително важен показател. Това се потвърждава веднага след събирането на данни за дружествата на БФБ. Следва да отбележим и това, че този показател може лесно да бъде манипулиран, при негово евентуално включване към официалните изисквания за ликвидност.</w:t>
      </w:r>
    </w:p>
    <w:p w:rsidR="00AD48E2" w:rsidRPr="00534F3B" w:rsidRDefault="00AD48E2" w:rsidP="00AD48E2">
      <w:pPr>
        <w:spacing w:line="300" w:lineRule="exact"/>
        <w:ind w:firstLine="284"/>
        <w:jc w:val="both"/>
        <w:rPr>
          <w:sz w:val="22"/>
          <w:szCs w:val="22"/>
        </w:rPr>
      </w:pPr>
    </w:p>
    <w:p w:rsidR="00AD48E2" w:rsidRPr="00534F3B" w:rsidRDefault="00AD48E2" w:rsidP="00AD48E2">
      <w:pPr>
        <w:spacing w:line="300" w:lineRule="exact"/>
        <w:ind w:firstLine="284"/>
        <w:jc w:val="both"/>
        <w:rPr>
          <w:sz w:val="22"/>
          <w:szCs w:val="22"/>
        </w:rPr>
      </w:pPr>
      <w:r w:rsidRPr="00534F3B">
        <w:rPr>
          <w:b/>
          <w:sz w:val="22"/>
          <w:szCs w:val="22"/>
        </w:rPr>
        <w:t>3.1. Коефициент на търговските дни</w:t>
      </w:r>
      <w:r w:rsidRPr="00534F3B">
        <w:rPr>
          <w:sz w:val="22"/>
          <w:szCs w:val="22"/>
        </w:rPr>
        <w:t xml:space="preserve"> </w:t>
      </w:r>
    </w:p>
    <w:p w:rsidR="00AD48E2" w:rsidRPr="00534F3B" w:rsidRDefault="00AD48E2" w:rsidP="00AD48E2">
      <w:pPr>
        <w:spacing w:line="300" w:lineRule="exact"/>
        <w:ind w:firstLine="284"/>
        <w:jc w:val="both"/>
        <w:rPr>
          <w:sz w:val="22"/>
          <w:szCs w:val="22"/>
        </w:rPr>
      </w:pPr>
      <w:r w:rsidRPr="00534F3B">
        <w:rPr>
          <w:sz w:val="22"/>
          <w:szCs w:val="22"/>
        </w:rPr>
        <w:t>С коефициента на търговските дни изразяваме съотношението на броя дни, в които са сключени сделки с акции на дружество към общия брой борсови дни за периода</w:t>
      </w:r>
      <w:r w:rsidRPr="00534F3B">
        <w:rPr>
          <w:i/>
          <w:sz w:val="22"/>
          <w:szCs w:val="22"/>
        </w:rPr>
        <w:t xml:space="preserve"> (Trad.D/Exch.D)</w:t>
      </w:r>
      <w:r w:rsidRPr="00534F3B">
        <w:rPr>
          <w:sz w:val="22"/>
          <w:szCs w:val="22"/>
        </w:rPr>
        <w:t>. За удобс</w:t>
      </w:r>
      <w:r w:rsidRPr="00534F3B">
        <w:rPr>
          <w:sz w:val="22"/>
          <w:szCs w:val="22"/>
        </w:rPr>
        <w:t>т</w:t>
      </w:r>
      <w:r w:rsidRPr="00534F3B">
        <w:rPr>
          <w:sz w:val="22"/>
          <w:szCs w:val="22"/>
        </w:rPr>
        <w:t>вото в практическото разчитане на показателя представяме неговите стойности в процент. Според посочените по-горе 332 борсови дни за изследвания период, изчислените стойности на коефицие</w:t>
      </w:r>
      <w:r w:rsidRPr="00534F3B">
        <w:rPr>
          <w:sz w:val="22"/>
          <w:szCs w:val="22"/>
        </w:rPr>
        <w:t>н</w:t>
      </w:r>
      <w:r w:rsidRPr="00534F3B">
        <w:rPr>
          <w:sz w:val="22"/>
          <w:szCs w:val="22"/>
        </w:rPr>
        <w:t>та за изследваните дружества представяме в табл. 8.</w:t>
      </w:r>
    </w:p>
    <w:p w:rsidR="00AD48E2" w:rsidRPr="00534F3B" w:rsidRDefault="00AD48E2" w:rsidP="00AD48E2">
      <w:pPr>
        <w:pStyle w:val="FIG"/>
      </w:pPr>
      <w:r w:rsidRPr="00534F3B">
        <w:t>Таблица 8. Коефициент на търговските дни и относително тегло на пазарната капитализация</w:t>
      </w:r>
    </w:p>
    <w:tbl>
      <w:tblPr>
        <w:tblStyle w:val="TableGrid"/>
        <w:tblW w:w="9469" w:type="dxa"/>
        <w:jc w:val="center"/>
        <w:tblLook w:val="04A0" w:firstRow="1" w:lastRow="0" w:firstColumn="1" w:lastColumn="0" w:noHBand="0" w:noVBand="1"/>
      </w:tblPr>
      <w:tblGrid>
        <w:gridCol w:w="3686"/>
        <w:gridCol w:w="1680"/>
        <w:gridCol w:w="4103"/>
      </w:tblGrid>
      <w:tr w:rsidR="00AD48E2" w:rsidRPr="00534F3B" w:rsidTr="00F76C47">
        <w:trPr>
          <w:trHeight w:val="20"/>
          <w:jc w:val="center"/>
        </w:trPr>
        <w:tc>
          <w:tcPr>
            <w:tcW w:w="3686" w:type="dxa"/>
          </w:tcPr>
          <w:p w:rsidR="00AD48E2" w:rsidRPr="00534F3B" w:rsidRDefault="00AD48E2" w:rsidP="00F76C47">
            <w:pPr>
              <w:spacing w:before="40" w:after="40"/>
              <w:jc w:val="center"/>
              <w:rPr>
                <w:sz w:val="20"/>
                <w:szCs w:val="20"/>
              </w:rPr>
            </w:pPr>
            <w:r w:rsidRPr="00534F3B">
              <w:rPr>
                <w:sz w:val="20"/>
                <w:szCs w:val="20"/>
              </w:rPr>
              <w:t>Дружество</w:t>
            </w:r>
          </w:p>
        </w:tc>
        <w:tc>
          <w:tcPr>
            <w:tcW w:w="1680" w:type="dxa"/>
          </w:tcPr>
          <w:p w:rsidR="00AD48E2" w:rsidRPr="00534F3B" w:rsidRDefault="00AD48E2" w:rsidP="00F76C47">
            <w:pPr>
              <w:spacing w:before="40" w:after="40"/>
              <w:jc w:val="center"/>
              <w:rPr>
                <w:sz w:val="20"/>
                <w:szCs w:val="20"/>
              </w:rPr>
            </w:pPr>
            <w:r w:rsidRPr="00534F3B">
              <w:rPr>
                <w:b/>
                <w:i/>
                <w:sz w:val="20"/>
                <w:szCs w:val="20"/>
              </w:rPr>
              <w:t>D</w:t>
            </w:r>
            <w:r w:rsidRPr="00534F3B">
              <w:rPr>
                <w:b/>
                <w:i/>
                <w:sz w:val="20"/>
                <w:szCs w:val="20"/>
                <w:vertAlign w:val="subscript"/>
              </w:rPr>
              <w:t>Т</w:t>
            </w:r>
            <w:r w:rsidRPr="00534F3B">
              <w:rPr>
                <w:b/>
                <w:i/>
                <w:sz w:val="20"/>
                <w:szCs w:val="20"/>
              </w:rPr>
              <w:t xml:space="preserve"> / D</w:t>
            </w:r>
            <w:r w:rsidRPr="00534F3B">
              <w:rPr>
                <w:b/>
                <w:i/>
                <w:sz w:val="20"/>
                <w:szCs w:val="20"/>
                <w:vertAlign w:val="subscript"/>
              </w:rPr>
              <w:t>Е</w:t>
            </w:r>
          </w:p>
        </w:tc>
        <w:tc>
          <w:tcPr>
            <w:tcW w:w="4103" w:type="dxa"/>
          </w:tcPr>
          <w:p w:rsidR="00AD48E2" w:rsidRPr="00534F3B" w:rsidRDefault="00AD48E2" w:rsidP="00F76C47">
            <w:pPr>
              <w:spacing w:before="40" w:after="40"/>
              <w:jc w:val="center"/>
              <w:rPr>
                <w:sz w:val="20"/>
                <w:szCs w:val="20"/>
              </w:rPr>
            </w:pPr>
            <w:r w:rsidRPr="00534F3B">
              <w:rPr>
                <w:sz w:val="20"/>
                <w:szCs w:val="20"/>
              </w:rPr>
              <w:t>Тегло на пазарната капита</w:t>
            </w:r>
            <w:r w:rsidRPr="00534F3B">
              <w:rPr>
                <w:sz w:val="20"/>
                <w:szCs w:val="20"/>
              </w:rPr>
              <w:softHyphen/>
              <w:t>лизация</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Софарма</w:t>
            </w:r>
          </w:p>
        </w:tc>
        <w:tc>
          <w:tcPr>
            <w:tcW w:w="1680" w:type="dxa"/>
          </w:tcPr>
          <w:p w:rsidR="00AD48E2" w:rsidRPr="00534F3B" w:rsidRDefault="00AD48E2" w:rsidP="00F76C47">
            <w:pPr>
              <w:spacing w:before="40" w:after="40"/>
              <w:jc w:val="center"/>
              <w:rPr>
                <w:sz w:val="20"/>
                <w:szCs w:val="20"/>
              </w:rPr>
            </w:pPr>
            <w:r w:rsidRPr="00534F3B">
              <w:rPr>
                <w:sz w:val="20"/>
                <w:szCs w:val="20"/>
              </w:rPr>
              <w:t>98,19</w:t>
            </w:r>
          </w:p>
        </w:tc>
        <w:tc>
          <w:tcPr>
            <w:tcW w:w="4103" w:type="dxa"/>
          </w:tcPr>
          <w:p w:rsidR="00AD48E2" w:rsidRPr="00534F3B" w:rsidRDefault="00AD48E2" w:rsidP="00F76C47">
            <w:pPr>
              <w:spacing w:before="40" w:after="40"/>
              <w:jc w:val="center"/>
              <w:rPr>
                <w:sz w:val="20"/>
                <w:szCs w:val="20"/>
              </w:rPr>
            </w:pPr>
            <w:r w:rsidRPr="00534F3B">
              <w:rPr>
                <w:sz w:val="20"/>
                <w:szCs w:val="20"/>
              </w:rPr>
              <w:t>2,444</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1680" w:type="dxa"/>
          </w:tcPr>
          <w:p w:rsidR="00AD48E2" w:rsidRPr="00534F3B" w:rsidRDefault="00AD48E2" w:rsidP="00F76C47">
            <w:pPr>
              <w:spacing w:before="40" w:after="40"/>
              <w:jc w:val="center"/>
              <w:rPr>
                <w:sz w:val="20"/>
                <w:szCs w:val="20"/>
              </w:rPr>
            </w:pPr>
            <w:r w:rsidRPr="00534F3B">
              <w:rPr>
                <w:sz w:val="20"/>
                <w:szCs w:val="20"/>
              </w:rPr>
              <w:t>87,05</w:t>
            </w:r>
          </w:p>
        </w:tc>
        <w:tc>
          <w:tcPr>
            <w:tcW w:w="4103" w:type="dxa"/>
          </w:tcPr>
          <w:p w:rsidR="00AD48E2" w:rsidRPr="00534F3B" w:rsidRDefault="00AD48E2" w:rsidP="00F76C47">
            <w:pPr>
              <w:spacing w:before="40" w:after="40"/>
              <w:jc w:val="center"/>
              <w:rPr>
                <w:sz w:val="20"/>
                <w:szCs w:val="20"/>
              </w:rPr>
            </w:pPr>
            <w:r w:rsidRPr="00534F3B">
              <w:rPr>
                <w:sz w:val="20"/>
                <w:szCs w:val="20"/>
              </w:rPr>
              <w:t>0,165</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Спарки Елтос</w:t>
            </w:r>
          </w:p>
        </w:tc>
        <w:tc>
          <w:tcPr>
            <w:tcW w:w="1680" w:type="dxa"/>
          </w:tcPr>
          <w:p w:rsidR="00AD48E2" w:rsidRPr="00534F3B" w:rsidRDefault="00AD48E2" w:rsidP="00F76C47">
            <w:pPr>
              <w:spacing w:before="40" w:after="40"/>
              <w:jc w:val="center"/>
              <w:rPr>
                <w:sz w:val="20"/>
                <w:szCs w:val="20"/>
              </w:rPr>
            </w:pPr>
            <w:r w:rsidRPr="00534F3B">
              <w:rPr>
                <w:sz w:val="20"/>
                <w:szCs w:val="20"/>
              </w:rPr>
              <w:t>33,73</w:t>
            </w:r>
          </w:p>
        </w:tc>
        <w:tc>
          <w:tcPr>
            <w:tcW w:w="4103" w:type="dxa"/>
          </w:tcPr>
          <w:p w:rsidR="00AD48E2" w:rsidRPr="00534F3B" w:rsidRDefault="00AD48E2" w:rsidP="00F76C47">
            <w:pPr>
              <w:spacing w:before="40" w:after="40"/>
              <w:jc w:val="center"/>
              <w:rPr>
                <w:sz w:val="20"/>
                <w:szCs w:val="20"/>
              </w:rPr>
            </w:pPr>
            <w:r w:rsidRPr="00534F3B">
              <w:rPr>
                <w:sz w:val="20"/>
                <w:szCs w:val="20"/>
              </w:rPr>
              <w:t>0,019</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Първа Инвестиционна Банка</w:t>
            </w:r>
          </w:p>
        </w:tc>
        <w:tc>
          <w:tcPr>
            <w:tcW w:w="1680" w:type="dxa"/>
          </w:tcPr>
          <w:p w:rsidR="00AD48E2" w:rsidRPr="00534F3B" w:rsidRDefault="00AD48E2" w:rsidP="00F76C47">
            <w:pPr>
              <w:spacing w:before="40" w:after="40"/>
              <w:jc w:val="center"/>
              <w:rPr>
                <w:sz w:val="20"/>
                <w:szCs w:val="20"/>
              </w:rPr>
            </w:pPr>
            <w:r w:rsidRPr="00534F3B">
              <w:rPr>
                <w:sz w:val="20"/>
                <w:szCs w:val="20"/>
              </w:rPr>
              <w:t>91,87</w:t>
            </w:r>
          </w:p>
        </w:tc>
        <w:tc>
          <w:tcPr>
            <w:tcW w:w="4103" w:type="dxa"/>
          </w:tcPr>
          <w:p w:rsidR="00AD48E2" w:rsidRPr="00534F3B" w:rsidRDefault="00AD48E2" w:rsidP="00F76C47">
            <w:pPr>
              <w:spacing w:before="40" w:after="40"/>
              <w:jc w:val="center"/>
              <w:rPr>
                <w:sz w:val="20"/>
                <w:szCs w:val="20"/>
              </w:rPr>
            </w:pPr>
            <w:r w:rsidRPr="00534F3B">
              <w:rPr>
                <w:sz w:val="20"/>
                <w:szCs w:val="20"/>
              </w:rPr>
              <w:t>2,538</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Елана Агрокредит</w:t>
            </w:r>
          </w:p>
        </w:tc>
        <w:tc>
          <w:tcPr>
            <w:tcW w:w="1680" w:type="dxa"/>
          </w:tcPr>
          <w:p w:rsidR="00AD48E2" w:rsidRPr="00534F3B" w:rsidRDefault="00AD48E2" w:rsidP="00F76C47">
            <w:pPr>
              <w:spacing w:before="40" w:after="40"/>
              <w:jc w:val="center"/>
              <w:rPr>
                <w:sz w:val="20"/>
                <w:szCs w:val="20"/>
              </w:rPr>
            </w:pPr>
            <w:r w:rsidRPr="00534F3B">
              <w:rPr>
                <w:sz w:val="20"/>
                <w:szCs w:val="20"/>
              </w:rPr>
              <w:t>62,35</w:t>
            </w:r>
          </w:p>
        </w:tc>
        <w:tc>
          <w:tcPr>
            <w:tcW w:w="4103" w:type="dxa"/>
          </w:tcPr>
          <w:p w:rsidR="00AD48E2" w:rsidRPr="00534F3B" w:rsidRDefault="00AD48E2" w:rsidP="00F76C47">
            <w:pPr>
              <w:spacing w:before="40" w:after="40"/>
              <w:jc w:val="center"/>
              <w:rPr>
                <w:sz w:val="20"/>
                <w:szCs w:val="20"/>
              </w:rPr>
            </w:pPr>
            <w:r w:rsidRPr="00534F3B">
              <w:rPr>
                <w:sz w:val="20"/>
                <w:szCs w:val="20"/>
              </w:rPr>
              <w:t>0,106</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680" w:type="dxa"/>
          </w:tcPr>
          <w:p w:rsidR="00AD48E2" w:rsidRPr="00534F3B" w:rsidRDefault="00AD48E2" w:rsidP="00F76C47">
            <w:pPr>
              <w:spacing w:before="40" w:after="40"/>
              <w:jc w:val="center"/>
              <w:rPr>
                <w:sz w:val="20"/>
                <w:szCs w:val="20"/>
              </w:rPr>
            </w:pPr>
            <w:r w:rsidRPr="00534F3B">
              <w:rPr>
                <w:sz w:val="20"/>
                <w:szCs w:val="20"/>
              </w:rPr>
              <w:t>34,34</w:t>
            </w:r>
          </w:p>
        </w:tc>
        <w:tc>
          <w:tcPr>
            <w:tcW w:w="4103" w:type="dxa"/>
          </w:tcPr>
          <w:p w:rsidR="00AD48E2" w:rsidRPr="00534F3B" w:rsidRDefault="00AD48E2" w:rsidP="00F76C47">
            <w:pPr>
              <w:spacing w:before="40" w:after="40"/>
              <w:jc w:val="center"/>
              <w:rPr>
                <w:sz w:val="20"/>
                <w:szCs w:val="20"/>
              </w:rPr>
            </w:pPr>
            <w:r w:rsidRPr="00534F3B">
              <w:rPr>
                <w:sz w:val="20"/>
                <w:szCs w:val="20"/>
              </w:rPr>
              <w:t>0,049</w:t>
            </w:r>
          </w:p>
        </w:tc>
      </w:tr>
      <w:tr w:rsidR="00AD48E2" w:rsidRPr="00534F3B" w:rsidTr="00F76C47">
        <w:trPr>
          <w:trHeight w:val="20"/>
          <w:jc w:val="center"/>
        </w:trPr>
        <w:tc>
          <w:tcPr>
            <w:tcW w:w="3686"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1680" w:type="dxa"/>
          </w:tcPr>
          <w:p w:rsidR="00AD48E2" w:rsidRPr="00534F3B" w:rsidRDefault="00AD48E2" w:rsidP="00F76C47">
            <w:pPr>
              <w:spacing w:before="40" w:after="40"/>
              <w:jc w:val="center"/>
              <w:rPr>
                <w:sz w:val="20"/>
                <w:szCs w:val="20"/>
              </w:rPr>
            </w:pPr>
            <w:r w:rsidRPr="00534F3B">
              <w:rPr>
                <w:sz w:val="20"/>
                <w:szCs w:val="20"/>
              </w:rPr>
              <w:t>12,05</w:t>
            </w:r>
          </w:p>
        </w:tc>
        <w:tc>
          <w:tcPr>
            <w:tcW w:w="4103" w:type="dxa"/>
          </w:tcPr>
          <w:p w:rsidR="00AD48E2" w:rsidRPr="00534F3B" w:rsidRDefault="00AD48E2" w:rsidP="00F76C47">
            <w:pPr>
              <w:spacing w:before="40" w:after="40"/>
              <w:jc w:val="center"/>
              <w:rPr>
                <w:sz w:val="20"/>
                <w:szCs w:val="20"/>
              </w:rPr>
            </w:pPr>
            <w:r w:rsidRPr="00534F3B">
              <w:rPr>
                <w:sz w:val="20"/>
                <w:szCs w:val="20"/>
              </w:rPr>
              <w:t>0,040</w:t>
            </w:r>
          </w:p>
        </w:tc>
      </w:tr>
    </w:tbl>
    <w:p w:rsidR="00AD48E2" w:rsidRPr="00534F3B" w:rsidRDefault="00AD48E2" w:rsidP="00AD48E2">
      <w:pPr>
        <w:spacing w:line="300" w:lineRule="exact"/>
        <w:ind w:firstLine="284"/>
        <w:jc w:val="both"/>
        <w:rPr>
          <w:b/>
          <w:i/>
          <w:sz w:val="22"/>
          <w:szCs w:val="22"/>
        </w:rPr>
      </w:pPr>
    </w:p>
    <w:p w:rsidR="00AD48E2" w:rsidRPr="00534F3B" w:rsidRDefault="00AD48E2" w:rsidP="00AD48E2">
      <w:pPr>
        <w:spacing w:line="300" w:lineRule="exact"/>
        <w:ind w:firstLine="284"/>
        <w:jc w:val="both"/>
        <w:rPr>
          <w:sz w:val="22"/>
          <w:szCs w:val="22"/>
        </w:rPr>
      </w:pPr>
      <w:r w:rsidRPr="00534F3B">
        <w:rPr>
          <w:b/>
          <w:sz w:val="22"/>
          <w:szCs w:val="22"/>
        </w:rPr>
        <w:t>3.2. Коефициент на Търгувания обем</w:t>
      </w:r>
      <w:r w:rsidRPr="00534F3B">
        <w:rPr>
          <w:b/>
          <w:i/>
          <w:sz w:val="22"/>
          <w:szCs w:val="22"/>
        </w:rPr>
        <w:t xml:space="preserve"> – </w:t>
      </w:r>
      <w:r w:rsidRPr="00534F3B">
        <w:rPr>
          <w:sz w:val="22"/>
          <w:szCs w:val="22"/>
        </w:rPr>
        <w:t>реализираният търговски обем (бр. акции) за съотве</w:t>
      </w:r>
      <w:r w:rsidRPr="00534F3B">
        <w:rPr>
          <w:sz w:val="22"/>
          <w:szCs w:val="22"/>
        </w:rPr>
        <w:t>т</w:t>
      </w:r>
      <w:r w:rsidRPr="00534F3B">
        <w:rPr>
          <w:sz w:val="22"/>
          <w:szCs w:val="22"/>
        </w:rPr>
        <w:t xml:space="preserve">ния период, представен в процент от броя акции в емисията на съответното дружество, което може да се разбира и като коефициент на обращаемост – т.е. търгуемост на емисията. </w:t>
      </w:r>
    </w:p>
    <w:p w:rsidR="00AD48E2" w:rsidRPr="00534F3B" w:rsidRDefault="00AD48E2" w:rsidP="00AD48E2">
      <w:pPr>
        <w:spacing w:before="120" w:line="300" w:lineRule="exact"/>
        <w:ind w:firstLine="284"/>
        <w:jc w:val="both"/>
        <w:rPr>
          <w:b/>
          <w:sz w:val="22"/>
          <w:szCs w:val="22"/>
        </w:rPr>
      </w:pPr>
      <w:r w:rsidRPr="00534F3B">
        <w:rPr>
          <w:b/>
          <w:sz w:val="22"/>
          <w:szCs w:val="22"/>
        </w:rPr>
        <w:t xml:space="preserve">3.3. Коефициент на Среднодневния търгуван обем </w:t>
      </w:r>
    </w:p>
    <w:p w:rsidR="00AD48E2" w:rsidRPr="00534F3B" w:rsidRDefault="00AD48E2" w:rsidP="00AD48E2">
      <w:pPr>
        <w:spacing w:before="120" w:line="300" w:lineRule="exact"/>
        <w:ind w:firstLine="284"/>
        <w:jc w:val="both"/>
        <w:rPr>
          <w:b/>
          <w:i/>
          <w:sz w:val="22"/>
          <w:szCs w:val="22"/>
        </w:rPr>
      </w:pPr>
      <w:r w:rsidRPr="00534F3B">
        <w:rPr>
          <w:b/>
          <w:sz w:val="22"/>
          <w:szCs w:val="22"/>
        </w:rPr>
        <w:t>3.4. Коефициент на Търгувания обем от Фрии-флоута</w:t>
      </w:r>
      <w:r w:rsidRPr="00534F3B">
        <w:rPr>
          <w:i/>
          <w:sz w:val="22"/>
          <w:szCs w:val="22"/>
        </w:rPr>
        <w:t xml:space="preserve"> (Vol.</w:t>
      </w:r>
      <w:r w:rsidRPr="00534F3B">
        <w:rPr>
          <w:i/>
          <w:sz w:val="22"/>
          <w:szCs w:val="22"/>
          <w:vertAlign w:val="subscript"/>
        </w:rPr>
        <w:t>Т</w:t>
      </w:r>
      <w:r w:rsidRPr="00534F3B">
        <w:rPr>
          <w:i/>
          <w:sz w:val="22"/>
          <w:szCs w:val="22"/>
        </w:rPr>
        <w:t>/Ff</w:t>
      </w:r>
      <w:r w:rsidRPr="00534F3B">
        <w:rPr>
          <w:i/>
          <w:sz w:val="22"/>
          <w:szCs w:val="22"/>
          <w:vertAlign w:val="subscript"/>
        </w:rPr>
        <w:t>SN</w:t>
      </w:r>
      <w:r w:rsidRPr="00534F3B">
        <w:rPr>
          <w:i/>
          <w:sz w:val="22"/>
          <w:szCs w:val="22"/>
        </w:rPr>
        <w:t xml:space="preserve">) – </w:t>
      </w:r>
      <w:r w:rsidRPr="00534F3B">
        <w:rPr>
          <w:sz w:val="22"/>
          <w:szCs w:val="22"/>
        </w:rPr>
        <w:t>изразява съотношението на търгувания обем акции за избран период към Фрий-флоута в брой акции.</w:t>
      </w:r>
      <w:r w:rsidRPr="00534F3B">
        <w:rPr>
          <w:b/>
          <w:i/>
          <w:sz w:val="22"/>
          <w:szCs w:val="22"/>
        </w:rPr>
        <w:t xml:space="preserve"> </w:t>
      </w:r>
    </w:p>
    <w:p w:rsidR="00AD48E2" w:rsidRPr="00534F3B" w:rsidRDefault="00AD48E2" w:rsidP="00AD48E2">
      <w:pPr>
        <w:spacing w:before="120" w:line="300" w:lineRule="exact"/>
        <w:ind w:firstLine="284"/>
        <w:jc w:val="both"/>
        <w:rPr>
          <w:i/>
          <w:sz w:val="22"/>
          <w:szCs w:val="22"/>
        </w:rPr>
      </w:pPr>
      <w:r w:rsidRPr="00534F3B">
        <w:rPr>
          <w:b/>
          <w:sz w:val="22"/>
          <w:szCs w:val="22"/>
        </w:rPr>
        <w:t>3.5. Коефициент на Средно дневния обем от Фрии-флоута</w:t>
      </w:r>
      <w:r w:rsidRPr="00534F3B">
        <w:rPr>
          <w:i/>
          <w:sz w:val="22"/>
          <w:szCs w:val="22"/>
        </w:rPr>
        <w:t xml:space="preserve"> (</w:t>
      </w:r>
      <w:r w:rsidRPr="00534F3B">
        <w:rPr>
          <w:b/>
          <w:i/>
          <w:sz w:val="22"/>
          <w:szCs w:val="22"/>
        </w:rPr>
        <w:t>Vol.</w:t>
      </w:r>
      <w:r w:rsidRPr="00534F3B">
        <w:rPr>
          <w:b/>
          <w:i/>
          <w:sz w:val="22"/>
          <w:szCs w:val="22"/>
          <w:vertAlign w:val="subscript"/>
        </w:rPr>
        <w:t>AD</w:t>
      </w:r>
      <w:r w:rsidRPr="00534F3B">
        <w:rPr>
          <w:b/>
          <w:i/>
          <w:sz w:val="22"/>
          <w:szCs w:val="22"/>
        </w:rPr>
        <w:t xml:space="preserve"> / Ff</w:t>
      </w:r>
      <w:r w:rsidRPr="00534F3B">
        <w:rPr>
          <w:b/>
          <w:i/>
          <w:sz w:val="22"/>
          <w:szCs w:val="22"/>
          <w:vertAlign w:val="subscript"/>
        </w:rPr>
        <w:t>SN</w:t>
      </w:r>
      <w:r w:rsidRPr="00534F3B">
        <w:rPr>
          <w:i/>
          <w:sz w:val="22"/>
          <w:szCs w:val="22"/>
        </w:rPr>
        <w:t xml:space="preserve">) – </w:t>
      </w:r>
      <w:r w:rsidRPr="00534F3B">
        <w:rPr>
          <w:sz w:val="22"/>
          <w:szCs w:val="22"/>
        </w:rPr>
        <w:t>среднодневен тъ</w:t>
      </w:r>
      <w:r w:rsidRPr="00534F3B">
        <w:rPr>
          <w:sz w:val="22"/>
          <w:szCs w:val="22"/>
        </w:rPr>
        <w:t>р</w:t>
      </w:r>
      <w:r w:rsidRPr="00534F3B">
        <w:rPr>
          <w:sz w:val="22"/>
          <w:szCs w:val="22"/>
        </w:rPr>
        <w:t>гуван обем за периода към Фрий-флоута в брой акции.</w:t>
      </w:r>
    </w:p>
    <w:p w:rsidR="00AD48E2" w:rsidRPr="00534F3B" w:rsidRDefault="00AD48E2" w:rsidP="00AD48E2">
      <w:pPr>
        <w:spacing w:before="120" w:line="300" w:lineRule="exact"/>
        <w:ind w:firstLine="284"/>
        <w:jc w:val="both"/>
        <w:rPr>
          <w:sz w:val="22"/>
          <w:szCs w:val="22"/>
        </w:rPr>
      </w:pPr>
      <w:r w:rsidRPr="00534F3B">
        <w:rPr>
          <w:b/>
          <w:sz w:val="22"/>
          <w:szCs w:val="22"/>
        </w:rPr>
        <w:lastRenderedPageBreak/>
        <w:t>3.6. Коефициент на Оборота от Фрии-флоута</w:t>
      </w:r>
      <w:r w:rsidRPr="00534F3B">
        <w:rPr>
          <w:b/>
          <w:i/>
          <w:sz w:val="22"/>
          <w:szCs w:val="22"/>
        </w:rPr>
        <w:t xml:space="preserve"> </w:t>
      </w:r>
      <w:r w:rsidRPr="00534F3B">
        <w:rPr>
          <w:i/>
          <w:sz w:val="22"/>
          <w:szCs w:val="22"/>
        </w:rPr>
        <w:t>(</w:t>
      </w:r>
      <w:r w:rsidRPr="00534F3B">
        <w:rPr>
          <w:b/>
          <w:i/>
          <w:sz w:val="22"/>
          <w:szCs w:val="22"/>
        </w:rPr>
        <w:t>То</w:t>
      </w:r>
      <w:r w:rsidRPr="00534F3B">
        <w:rPr>
          <w:b/>
          <w:i/>
          <w:sz w:val="22"/>
          <w:szCs w:val="22"/>
          <w:vertAlign w:val="subscript"/>
        </w:rPr>
        <w:t>T</w:t>
      </w:r>
      <w:r w:rsidRPr="00534F3B">
        <w:rPr>
          <w:b/>
          <w:i/>
          <w:sz w:val="22"/>
          <w:szCs w:val="22"/>
        </w:rPr>
        <w:t xml:space="preserve"> / Ff</w:t>
      </w:r>
      <w:r w:rsidRPr="00534F3B">
        <w:rPr>
          <w:b/>
          <w:i/>
          <w:sz w:val="22"/>
          <w:szCs w:val="22"/>
          <w:vertAlign w:val="subscript"/>
        </w:rPr>
        <w:t>МС</w:t>
      </w:r>
      <w:r w:rsidRPr="00534F3B">
        <w:rPr>
          <w:i/>
          <w:sz w:val="22"/>
          <w:szCs w:val="22"/>
        </w:rPr>
        <w:t xml:space="preserve">) – </w:t>
      </w:r>
      <w:r w:rsidRPr="00534F3B">
        <w:rPr>
          <w:sz w:val="22"/>
          <w:szCs w:val="22"/>
        </w:rPr>
        <w:t xml:space="preserve">борсов оборот за период-Т към Пазарната капитализация на Фрий-флоута за последния ден от периода. </w:t>
      </w:r>
    </w:p>
    <w:p w:rsidR="00AD48E2" w:rsidRPr="00534F3B" w:rsidRDefault="00AD48E2" w:rsidP="00AD48E2">
      <w:pPr>
        <w:spacing w:before="120" w:line="300" w:lineRule="exact"/>
        <w:ind w:firstLine="284"/>
        <w:jc w:val="both"/>
        <w:rPr>
          <w:b/>
          <w:i/>
          <w:sz w:val="22"/>
          <w:szCs w:val="22"/>
        </w:rPr>
      </w:pPr>
      <w:r w:rsidRPr="00534F3B">
        <w:rPr>
          <w:b/>
          <w:sz w:val="22"/>
          <w:szCs w:val="22"/>
        </w:rPr>
        <w:t xml:space="preserve">3.7. Коефициент на Среднодневния оборот от Фрии-флоута </w:t>
      </w:r>
      <w:r w:rsidRPr="00534F3B">
        <w:rPr>
          <w:b/>
          <w:i/>
          <w:sz w:val="22"/>
          <w:szCs w:val="22"/>
        </w:rPr>
        <w:t>(То</w:t>
      </w:r>
      <w:r w:rsidRPr="00534F3B">
        <w:rPr>
          <w:b/>
          <w:i/>
          <w:sz w:val="22"/>
          <w:szCs w:val="22"/>
          <w:vertAlign w:val="subscript"/>
        </w:rPr>
        <w:t>T (AD)</w:t>
      </w:r>
      <w:r w:rsidRPr="00534F3B">
        <w:rPr>
          <w:b/>
          <w:i/>
          <w:sz w:val="22"/>
          <w:szCs w:val="22"/>
        </w:rPr>
        <w:t xml:space="preserve"> / Ff</w:t>
      </w:r>
      <w:r w:rsidRPr="00534F3B">
        <w:rPr>
          <w:b/>
          <w:i/>
          <w:sz w:val="22"/>
          <w:szCs w:val="22"/>
          <w:vertAlign w:val="subscript"/>
        </w:rPr>
        <w:t xml:space="preserve">МС </w:t>
      </w:r>
      <w:r w:rsidRPr="00534F3B">
        <w:rPr>
          <w:b/>
          <w:i/>
          <w:sz w:val="22"/>
          <w:szCs w:val="22"/>
        </w:rPr>
        <w:t>)</w:t>
      </w:r>
      <w:r w:rsidRPr="00534F3B">
        <w:rPr>
          <w:b/>
          <w:i/>
          <w:sz w:val="22"/>
          <w:szCs w:val="22"/>
          <w:vertAlign w:val="subscript"/>
        </w:rPr>
        <w:t xml:space="preserve"> </w:t>
      </w:r>
    </w:p>
    <w:p w:rsidR="00AD48E2" w:rsidRPr="00534F3B" w:rsidRDefault="00AD48E2" w:rsidP="00AD48E2">
      <w:pPr>
        <w:pStyle w:val="FIG"/>
        <w:pageBreakBefore/>
        <w:spacing w:before="0"/>
      </w:pPr>
      <w:r w:rsidRPr="00534F3B">
        <w:lastRenderedPageBreak/>
        <w:t>Таблица 9. Показатели за пазарна ликвидност на дружествата</w:t>
      </w:r>
    </w:p>
    <w:tbl>
      <w:tblPr>
        <w:tblStyle w:val="TableGrid"/>
        <w:tblW w:w="9469" w:type="dxa"/>
        <w:jc w:val="center"/>
        <w:tblCellMar>
          <w:left w:w="57" w:type="dxa"/>
          <w:right w:w="57" w:type="dxa"/>
        </w:tblCellMar>
        <w:tblLook w:val="04A0" w:firstRow="1" w:lastRow="0" w:firstColumn="1" w:lastColumn="0" w:noHBand="0" w:noVBand="1"/>
      </w:tblPr>
      <w:tblGrid>
        <w:gridCol w:w="2469"/>
        <w:gridCol w:w="1750"/>
        <w:gridCol w:w="1647"/>
        <w:gridCol w:w="1750"/>
        <w:gridCol w:w="1853"/>
      </w:tblGrid>
      <w:tr w:rsidR="00AD48E2" w:rsidRPr="00534F3B" w:rsidTr="00F76C47">
        <w:trPr>
          <w:trHeight w:val="20"/>
          <w:jc w:val="center"/>
        </w:trPr>
        <w:tc>
          <w:tcPr>
            <w:tcW w:w="2160" w:type="dxa"/>
          </w:tcPr>
          <w:p w:rsidR="00AD48E2" w:rsidRPr="00534F3B" w:rsidRDefault="00AD48E2" w:rsidP="00F76C47">
            <w:pPr>
              <w:spacing w:before="40" w:after="40"/>
              <w:jc w:val="center"/>
              <w:rPr>
                <w:sz w:val="20"/>
                <w:szCs w:val="20"/>
              </w:rPr>
            </w:pPr>
            <w:r w:rsidRPr="00534F3B">
              <w:rPr>
                <w:sz w:val="20"/>
                <w:szCs w:val="20"/>
              </w:rPr>
              <w:t>Дружество</w:t>
            </w:r>
          </w:p>
        </w:tc>
        <w:tc>
          <w:tcPr>
            <w:tcW w:w="1530" w:type="dxa"/>
          </w:tcPr>
          <w:p w:rsidR="00AD48E2" w:rsidRPr="00534F3B" w:rsidRDefault="00AD48E2" w:rsidP="00F76C47">
            <w:pPr>
              <w:spacing w:before="40" w:after="40"/>
              <w:jc w:val="center"/>
              <w:rPr>
                <w:b/>
                <w:i/>
                <w:sz w:val="20"/>
                <w:szCs w:val="20"/>
                <w:vertAlign w:val="subscript"/>
              </w:rPr>
            </w:pPr>
            <w:r w:rsidRPr="00534F3B">
              <w:rPr>
                <w:b/>
                <w:i/>
                <w:sz w:val="20"/>
                <w:szCs w:val="20"/>
              </w:rPr>
              <w:t>Vol.</w:t>
            </w:r>
            <w:r w:rsidRPr="00534F3B">
              <w:rPr>
                <w:b/>
                <w:i/>
                <w:sz w:val="20"/>
                <w:szCs w:val="20"/>
                <w:vertAlign w:val="subscript"/>
              </w:rPr>
              <w:t>Т</w:t>
            </w:r>
            <w:r w:rsidRPr="00534F3B">
              <w:rPr>
                <w:b/>
                <w:i/>
                <w:sz w:val="20"/>
                <w:szCs w:val="20"/>
              </w:rPr>
              <w:t xml:space="preserve"> / Ff</w:t>
            </w:r>
            <w:r w:rsidRPr="00534F3B">
              <w:rPr>
                <w:b/>
                <w:i/>
                <w:sz w:val="20"/>
                <w:szCs w:val="20"/>
                <w:vertAlign w:val="subscript"/>
              </w:rPr>
              <w:t>SN</w:t>
            </w:r>
          </w:p>
          <w:p w:rsidR="00AD48E2" w:rsidRPr="00534F3B" w:rsidRDefault="00AD48E2" w:rsidP="00F76C47">
            <w:pPr>
              <w:spacing w:before="40" w:after="40"/>
              <w:jc w:val="center"/>
              <w:rPr>
                <w:i/>
                <w:sz w:val="20"/>
                <w:szCs w:val="20"/>
              </w:rPr>
            </w:pPr>
            <w:r w:rsidRPr="00534F3B">
              <w:rPr>
                <w:i/>
                <w:sz w:val="20"/>
                <w:szCs w:val="20"/>
              </w:rPr>
              <w:t>(%)</w:t>
            </w:r>
          </w:p>
        </w:tc>
        <w:tc>
          <w:tcPr>
            <w:tcW w:w="1440" w:type="dxa"/>
          </w:tcPr>
          <w:p w:rsidR="00AD48E2" w:rsidRPr="00534F3B" w:rsidRDefault="00AD48E2" w:rsidP="00F76C47">
            <w:pPr>
              <w:spacing w:before="40" w:after="40"/>
              <w:jc w:val="center"/>
              <w:rPr>
                <w:b/>
                <w:i/>
                <w:sz w:val="20"/>
                <w:szCs w:val="20"/>
                <w:vertAlign w:val="subscript"/>
              </w:rPr>
            </w:pPr>
            <w:r w:rsidRPr="00534F3B">
              <w:rPr>
                <w:b/>
                <w:i/>
                <w:sz w:val="20"/>
                <w:szCs w:val="20"/>
              </w:rPr>
              <w:t>То</w:t>
            </w:r>
            <w:r w:rsidRPr="00534F3B">
              <w:rPr>
                <w:b/>
                <w:i/>
                <w:sz w:val="20"/>
                <w:szCs w:val="20"/>
                <w:vertAlign w:val="subscript"/>
              </w:rPr>
              <w:t>T</w:t>
            </w:r>
            <w:r w:rsidRPr="00534F3B">
              <w:rPr>
                <w:b/>
                <w:i/>
                <w:sz w:val="20"/>
                <w:szCs w:val="20"/>
              </w:rPr>
              <w:t xml:space="preserve"> / Ff</w:t>
            </w:r>
            <w:r w:rsidRPr="00534F3B">
              <w:rPr>
                <w:b/>
                <w:i/>
                <w:sz w:val="20"/>
                <w:szCs w:val="20"/>
                <w:vertAlign w:val="subscript"/>
              </w:rPr>
              <w:t>МС</w:t>
            </w:r>
          </w:p>
          <w:p w:rsidR="00AD48E2" w:rsidRPr="00534F3B" w:rsidRDefault="00AD48E2" w:rsidP="00F76C47">
            <w:pPr>
              <w:spacing w:before="40" w:after="40"/>
              <w:jc w:val="center"/>
              <w:rPr>
                <w:sz w:val="20"/>
                <w:szCs w:val="20"/>
              </w:rPr>
            </w:pPr>
            <w:r w:rsidRPr="00534F3B">
              <w:rPr>
                <w:i/>
                <w:sz w:val="20"/>
                <w:szCs w:val="20"/>
              </w:rPr>
              <w:t>(%)</w:t>
            </w:r>
          </w:p>
        </w:tc>
        <w:tc>
          <w:tcPr>
            <w:tcW w:w="1530" w:type="dxa"/>
          </w:tcPr>
          <w:p w:rsidR="00AD48E2" w:rsidRPr="00534F3B" w:rsidRDefault="00AD48E2" w:rsidP="00F76C47">
            <w:pPr>
              <w:spacing w:before="40" w:after="40"/>
              <w:jc w:val="center"/>
              <w:rPr>
                <w:i/>
                <w:sz w:val="20"/>
                <w:szCs w:val="20"/>
              </w:rPr>
            </w:pPr>
            <w:r w:rsidRPr="00534F3B">
              <w:rPr>
                <w:b/>
                <w:i/>
                <w:sz w:val="20"/>
                <w:szCs w:val="20"/>
              </w:rPr>
              <w:t>Vol.</w:t>
            </w:r>
            <w:r w:rsidRPr="00534F3B">
              <w:rPr>
                <w:b/>
                <w:i/>
                <w:sz w:val="20"/>
                <w:szCs w:val="20"/>
                <w:vertAlign w:val="subscript"/>
              </w:rPr>
              <w:t xml:space="preserve">Т (AD) </w:t>
            </w:r>
            <w:r w:rsidRPr="00534F3B">
              <w:rPr>
                <w:b/>
                <w:sz w:val="20"/>
                <w:szCs w:val="20"/>
              </w:rPr>
              <w:t xml:space="preserve">/ </w:t>
            </w:r>
            <w:r w:rsidRPr="00534F3B">
              <w:rPr>
                <w:b/>
                <w:i/>
                <w:sz w:val="20"/>
                <w:szCs w:val="20"/>
              </w:rPr>
              <w:t>Ff</w:t>
            </w:r>
            <w:r w:rsidRPr="00534F3B">
              <w:rPr>
                <w:b/>
                <w:i/>
                <w:sz w:val="20"/>
                <w:szCs w:val="20"/>
                <w:vertAlign w:val="subscript"/>
              </w:rPr>
              <w:t xml:space="preserve">SN </w:t>
            </w:r>
            <w:r w:rsidRPr="00534F3B">
              <w:rPr>
                <w:b/>
                <w:i/>
                <w:sz w:val="20"/>
                <w:szCs w:val="20"/>
                <w:vertAlign w:val="subscript"/>
              </w:rPr>
              <w:br/>
            </w:r>
            <w:r w:rsidRPr="00534F3B">
              <w:rPr>
                <w:i/>
                <w:sz w:val="20"/>
                <w:szCs w:val="20"/>
              </w:rPr>
              <w:t>(%)</w:t>
            </w:r>
          </w:p>
        </w:tc>
        <w:tc>
          <w:tcPr>
            <w:tcW w:w="1620" w:type="dxa"/>
          </w:tcPr>
          <w:p w:rsidR="00AD48E2" w:rsidRPr="00534F3B" w:rsidRDefault="00AD48E2" w:rsidP="00F76C47">
            <w:pPr>
              <w:spacing w:before="40" w:after="40"/>
              <w:jc w:val="center"/>
              <w:rPr>
                <w:sz w:val="20"/>
                <w:szCs w:val="20"/>
              </w:rPr>
            </w:pPr>
            <w:r w:rsidRPr="00534F3B">
              <w:rPr>
                <w:b/>
                <w:i/>
                <w:sz w:val="20"/>
                <w:szCs w:val="20"/>
              </w:rPr>
              <w:t>То</w:t>
            </w:r>
            <w:r w:rsidRPr="00534F3B">
              <w:rPr>
                <w:b/>
                <w:i/>
                <w:sz w:val="20"/>
                <w:szCs w:val="20"/>
                <w:vertAlign w:val="subscript"/>
              </w:rPr>
              <w:t>T (AD)</w:t>
            </w:r>
            <w:r w:rsidRPr="00534F3B">
              <w:rPr>
                <w:b/>
                <w:i/>
                <w:sz w:val="20"/>
                <w:szCs w:val="20"/>
              </w:rPr>
              <w:t xml:space="preserve"> /Ff</w:t>
            </w:r>
            <w:r w:rsidRPr="00534F3B">
              <w:rPr>
                <w:b/>
                <w:i/>
                <w:sz w:val="20"/>
                <w:szCs w:val="20"/>
                <w:vertAlign w:val="subscript"/>
              </w:rPr>
              <w:t xml:space="preserve">МС </w:t>
            </w:r>
            <w:r w:rsidRPr="00534F3B">
              <w:rPr>
                <w:b/>
                <w:i/>
                <w:sz w:val="20"/>
                <w:szCs w:val="20"/>
                <w:vertAlign w:val="subscript"/>
              </w:rPr>
              <w:br/>
            </w:r>
            <w:r w:rsidRPr="00534F3B">
              <w:rPr>
                <w:i/>
                <w:sz w:val="20"/>
                <w:szCs w:val="20"/>
              </w:rPr>
              <w:t>(%)</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Софарма</w:t>
            </w:r>
          </w:p>
        </w:tc>
        <w:tc>
          <w:tcPr>
            <w:tcW w:w="1530" w:type="dxa"/>
          </w:tcPr>
          <w:p w:rsidR="00AD48E2" w:rsidRPr="00534F3B" w:rsidRDefault="00AD48E2" w:rsidP="00F76C47">
            <w:pPr>
              <w:spacing w:before="40" w:after="40"/>
              <w:jc w:val="center"/>
              <w:rPr>
                <w:sz w:val="20"/>
                <w:szCs w:val="20"/>
              </w:rPr>
            </w:pPr>
            <w:r w:rsidRPr="00534F3B">
              <w:rPr>
                <w:sz w:val="20"/>
                <w:szCs w:val="20"/>
              </w:rPr>
              <w:t>64,93</w:t>
            </w:r>
          </w:p>
        </w:tc>
        <w:tc>
          <w:tcPr>
            <w:tcW w:w="1440" w:type="dxa"/>
          </w:tcPr>
          <w:p w:rsidR="00AD48E2" w:rsidRPr="00534F3B" w:rsidRDefault="00AD48E2" w:rsidP="00F76C47">
            <w:pPr>
              <w:spacing w:before="40" w:after="40"/>
              <w:jc w:val="center"/>
              <w:rPr>
                <w:sz w:val="20"/>
                <w:szCs w:val="20"/>
              </w:rPr>
            </w:pPr>
            <w:r w:rsidRPr="00534F3B">
              <w:rPr>
                <w:sz w:val="20"/>
                <w:szCs w:val="20"/>
              </w:rPr>
              <w:t>58,7</w:t>
            </w:r>
          </w:p>
        </w:tc>
        <w:tc>
          <w:tcPr>
            <w:tcW w:w="1530" w:type="dxa"/>
          </w:tcPr>
          <w:p w:rsidR="00AD48E2" w:rsidRPr="00534F3B" w:rsidRDefault="00AD48E2" w:rsidP="00F76C47">
            <w:pPr>
              <w:spacing w:before="40" w:after="40"/>
              <w:jc w:val="center"/>
              <w:rPr>
                <w:sz w:val="20"/>
                <w:szCs w:val="20"/>
              </w:rPr>
            </w:pPr>
            <w:r w:rsidRPr="00534F3B">
              <w:rPr>
                <w:sz w:val="20"/>
                <w:szCs w:val="20"/>
              </w:rPr>
              <w:t>0,196</w:t>
            </w:r>
          </w:p>
        </w:tc>
        <w:tc>
          <w:tcPr>
            <w:tcW w:w="1620" w:type="dxa"/>
          </w:tcPr>
          <w:p w:rsidR="00AD48E2" w:rsidRPr="00534F3B" w:rsidRDefault="00AD48E2" w:rsidP="00F76C47">
            <w:pPr>
              <w:spacing w:before="40" w:after="40"/>
              <w:jc w:val="center"/>
              <w:rPr>
                <w:sz w:val="20"/>
                <w:szCs w:val="20"/>
              </w:rPr>
            </w:pPr>
            <w:r w:rsidRPr="00534F3B">
              <w:rPr>
                <w:sz w:val="20"/>
                <w:szCs w:val="20"/>
              </w:rPr>
              <w:t>0,177</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Доверие Обединен Холд.</w:t>
            </w:r>
          </w:p>
        </w:tc>
        <w:tc>
          <w:tcPr>
            <w:tcW w:w="1530" w:type="dxa"/>
          </w:tcPr>
          <w:p w:rsidR="00AD48E2" w:rsidRPr="00534F3B" w:rsidRDefault="00AD48E2" w:rsidP="00F76C47">
            <w:pPr>
              <w:spacing w:before="40" w:after="40"/>
              <w:jc w:val="center"/>
              <w:rPr>
                <w:sz w:val="20"/>
                <w:szCs w:val="20"/>
              </w:rPr>
            </w:pPr>
            <w:r w:rsidRPr="00534F3B">
              <w:rPr>
                <w:sz w:val="20"/>
                <w:szCs w:val="20"/>
              </w:rPr>
              <w:t>74,81</w:t>
            </w:r>
          </w:p>
        </w:tc>
        <w:tc>
          <w:tcPr>
            <w:tcW w:w="1440" w:type="dxa"/>
          </w:tcPr>
          <w:p w:rsidR="00AD48E2" w:rsidRPr="00534F3B" w:rsidRDefault="00AD48E2" w:rsidP="00F76C47">
            <w:pPr>
              <w:spacing w:before="40" w:after="40"/>
              <w:jc w:val="center"/>
              <w:rPr>
                <w:sz w:val="20"/>
                <w:szCs w:val="20"/>
              </w:rPr>
            </w:pPr>
            <w:r w:rsidRPr="00534F3B">
              <w:rPr>
                <w:sz w:val="20"/>
                <w:szCs w:val="20"/>
              </w:rPr>
              <w:t>59,9</w:t>
            </w:r>
          </w:p>
        </w:tc>
        <w:tc>
          <w:tcPr>
            <w:tcW w:w="1530" w:type="dxa"/>
          </w:tcPr>
          <w:p w:rsidR="00AD48E2" w:rsidRPr="00534F3B" w:rsidRDefault="00AD48E2" w:rsidP="00F76C47">
            <w:pPr>
              <w:spacing w:before="40" w:after="40"/>
              <w:jc w:val="center"/>
              <w:rPr>
                <w:sz w:val="20"/>
                <w:szCs w:val="20"/>
              </w:rPr>
            </w:pPr>
            <w:r w:rsidRPr="00534F3B">
              <w:rPr>
                <w:sz w:val="20"/>
                <w:szCs w:val="20"/>
              </w:rPr>
              <w:t>0,225</w:t>
            </w:r>
          </w:p>
        </w:tc>
        <w:tc>
          <w:tcPr>
            <w:tcW w:w="1620" w:type="dxa"/>
          </w:tcPr>
          <w:p w:rsidR="00AD48E2" w:rsidRPr="00534F3B" w:rsidRDefault="00AD48E2" w:rsidP="00F76C47">
            <w:pPr>
              <w:spacing w:before="40" w:after="40"/>
              <w:jc w:val="center"/>
              <w:rPr>
                <w:sz w:val="20"/>
                <w:szCs w:val="20"/>
              </w:rPr>
            </w:pPr>
            <w:r w:rsidRPr="00534F3B">
              <w:rPr>
                <w:sz w:val="20"/>
                <w:szCs w:val="20"/>
              </w:rPr>
              <w:t>0,181</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Спарки Елтос</w:t>
            </w:r>
          </w:p>
        </w:tc>
        <w:tc>
          <w:tcPr>
            <w:tcW w:w="1530" w:type="dxa"/>
          </w:tcPr>
          <w:p w:rsidR="00AD48E2" w:rsidRPr="00534F3B" w:rsidRDefault="00AD48E2" w:rsidP="00F76C47">
            <w:pPr>
              <w:spacing w:before="40" w:after="40"/>
              <w:jc w:val="center"/>
              <w:rPr>
                <w:sz w:val="20"/>
                <w:szCs w:val="20"/>
              </w:rPr>
            </w:pPr>
            <w:r w:rsidRPr="00534F3B">
              <w:rPr>
                <w:sz w:val="20"/>
                <w:szCs w:val="20"/>
              </w:rPr>
              <w:t>5,60</w:t>
            </w:r>
          </w:p>
        </w:tc>
        <w:tc>
          <w:tcPr>
            <w:tcW w:w="1440" w:type="dxa"/>
          </w:tcPr>
          <w:p w:rsidR="00AD48E2" w:rsidRPr="00534F3B" w:rsidRDefault="00AD48E2" w:rsidP="00F76C47">
            <w:pPr>
              <w:spacing w:before="40" w:after="40"/>
              <w:jc w:val="center"/>
              <w:rPr>
                <w:sz w:val="20"/>
                <w:szCs w:val="20"/>
              </w:rPr>
            </w:pPr>
            <w:r w:rsidRPr="00534F3B">
              <w:rPr>
                <w:sz w:val="20"/>
                <w:szCs w:val="20"/>
              </w:rPr>
              <w:t>24,2</w:t>
            </w:r>
          </w:p>
        </w:tc>
        <w:tc>
          <w:tcPr>
            <w:tcW w:w="1530" w:type="dxa"/>
          </w:tcPr>
          <w:p w:rsidR="00AD48E2" w:rsidRPr="00534F3B" w:rsidRDefault="00AD48E2" w:rsidP="00F76C47">
            <w:pPr>
              <w:spacing w:before="40" w:after="40"/>
              <w:jc w:val="center"/>
              <w:rPr>
                <w:sz w:val="20"/>
                <w:szCs w:val="20"/>
              </w:rPr>
            </w:pPr>
            <w:r w:rsidRPr="00534F3B">
              <w:rPr>
                <w:sz w:val="20"/>
                <w:szCs w:val="20"/>
              </w:rPr>
              <w:t>0,017</w:t>
            </w:r>
          </w:p>
        </w:tc>
        <w:tc>
          <w:tcPr>
            <w:tcW w:w="1620" w:type="dxa"/>
          </w:tcPr>
          <w:p w:rsidR="00AD48E2" w:rsidRPr="00534F3B" w:rsidRDefault="00AD48E2" w:rsidP="00F76C47">
            <w:pPr>
              <w:spacing w:before="40" w:after="40"/>
              <w:jc w:val="center"/>
              <w:rPr>
                <w:sz w:val="20"/>
                <w:szCs w:val="20"/>
              </w:rPr>
            </w:pPr>
            <w:r w:rsidRPr="00534F3B">
              <w:rPr>
                <w:sz w:val="20"/>
                <w:szCs w:val="20"/>
              </w:rPr>
              <w:t>0,073</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Първа Инв. Банка</w:t>
            </w:r>
          </w:p>
        </w:tc>
        <w:tc>
          <w:tcPr>
            <w:tcW w:w="1530" w:type="dxa"/>
          </w:tcPr>
          <w:p w:rsidR="00AD48E2" w:rsidRPr="00534F3B" w:rsidRDefault="00AD48E2" w:rsidP="00F76C47">
            <w:pPr>
              <w:spacing w:before="40" w:after="40"/>
              <w:jc w:val="center"/>
              <w:rPr>
                <w:sz w:val="20"/>
                <w:szCs w:val="20"/>
              </w:rPr>
            </w:pPr>
            <w:r w:rsidRPr="00534F3B">
              <w:rPr>
                <w:sz w:val="20"/>
                <w:szCs w:val="20"/>
              </w:rPr>
              <w:t>22,85</w:t>
            </w:r>
          </w:p>
        </w:tc>
        <w:tc>
          <w:tcPr>
            <w:tcW w:w="1440" w:type="dxa"/>
          </w:tcPr>
          <w:p w:rsidR="00AD48E2" w:rsidRPr="00534F3B" w:rsidRDefault="00AD48E2" w:rsidP="00F76C47">
            <w:pPr>
              <w:spacing w:before="40" w:after="40"/>
              <w:jc w:val="center"/>
              <w:rPr>
                <w:sz w:val="20"/>
                <w:szCs w:val="20"/>
              </w:rPr>
            </w:pPr>
            <w:r w:rsidRPr="00534F3B">
              <w:rPr>
                <w:sz w:val="20"/>
                <w:szCs w:val="20"/>
              </w:rPr>
              <w:t>16,2</w:t>
            </w:r>
          </w:p>
        </w:tc>
        <w:tc>
          <w:tcPr>
            <w:tcW w:w="1530" w:type="dxa"/>
          </w:tcPr>
          <w:p w:rsidR="00AD48E2" w:rsidRPr="00534F3B" w:rsidRDefault="00AD48E2" w:rsidP="00F76C47">
            <w:pPr>
              <w:spacing w:before="40" w:after="40"/>
              <w:jc w:val="center"/>
              <w:rPr>
                <w:sz w:val="20"/>
                <w:szCs w:val="20"/>
              </w:rPr>
            </w:pPr>
            <w:r w:rsidRPr="00534F3B">
              <w:rPr>
                <w:sz w:val="20"/>
                <w:szCs w:val="20"/>
              </w:rPr>
              <w:t>0,069</w:t>
            </w:r>
          </w:p>
        </w:tc>
        <w:tc>
          <w:tcPr>
            <w:tcW w:w="1620" w:type="dxa"/>
          </w:tcPr>
          <w:p w:rsidR="00AD48E2" w:rsidRPr="00534F3B" w:rsidRDefault="00AD48E2" w:rsidP="00F76C47">
            <w:pPr>
              <w:spacing w:before="40" w:after="40"/>
              <w:jc w:val="center"/>
              <w:rPr>
                <w:sz w:val="20"/>
                <w:szCs w:val="20"/>
              </w:rPr>
            </w:pPr>
            <w:r w:rsidRPr="00534F3B">
              <w:rPr>
                <w:sz w:val="20"/>
                <w:szCs w:val="20"/>
              </w:rPr>
              <w:t>0,005</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Елана Агрокредит</w:t>
            </w:r>
          </w:p>
        </w:tc>
        <w:tc>
          <w:tcPr>
            <w:tcW w:w="1530" w:type="dxa"/>
          </w:tcPr>
          <w:p w:rsidR="00AD48E2" w:rsidRPr="00534F3B" w:rsidRDefault="00AD48E2" w:rsidP="00F76C47">
            <w:pPr>
              <w:spacing w:before="40" w:after="40"/>
              <w:jc w:val="center"/>
              <w:rPr>
                <w:sz w:val="20"/>
                <w:szCs w:val="20"/>
              </w:rPr>
            </w:pPr>
            <w:r w:rsidRPr="00534F3B">
              <w:rPr>
                <w:sz w:val="20"/>
                <w:szCs w:val="20"/>
              </w:rPr>
              <w:t>19,38</w:t>
            </w:r>
          </w:p>
        </w:tc>
        <w:tc>
          <w:tcPr>
            <w:tcW w:w="1440" w:type="dxa"/>
          </w:tcPr>
          <w:p w:rsidR="00AD48E2" w:rsidRPr="00534F3B" w:rsidRDefault="00AD48E2" w:rsidP="00F76C47">
            <w:pPr>
              <w:spacing w:before="40" w:after="40"/>
              <w:jc w:val="center"/>
              <w:rPr>
                <w:sz w:val="20"/>
                <w:szCs w:val="20"/>
              </w:rPr>
            </w:pPr>
            <w:r w:rsidRPr="00534F3B">
              <w:rPr>
                <w:sz w:val="20"/>
                <w:szCs w:val="20"/>
              </w:rPr>
              <w:t>20,1</w:t>
            </w:r>
          </w:p>
        </w:tc>
        <w:tc>
          <w:tcPr>
            <w:tcW w:w="1530" w:type="dxa"/>
          </w:tcPr>
          <w:p w:rsidR="00AD48E2" w:rsidRPr="00534F3B" w:rsidRDefault="00AD48E2" w:rsidP="00F76C47">
            <w:pPr>
              <w:spacing w:before="40" w:after="40"/>
              <w:jc w:val="center"/>
              <w:rPr>
                <w:sz w:val="20"/>
                <w:szCs w:val="20"/>
              </w:rPr>
            </w:pPr>
            <w:r w:rsidRPr="00534F3B">
              <w:rPr>
                <w:sz w:val="20"/>
                <w:szCs w:val="20"/>
              </w:rPr>
              <w:t>0,058</w:t>
            </w:r>
          </w:p>
        </w:tc>
        <w:tc>
          <w:tcPr>
            <w:tcW w:w="1620" w:type="dxa"/>
          </w:tcPr>
          <w:p w:rsidR="00AD48E2" w:rsidRPr="00534F3B" w:rsidRDefault="00AD48E2" w:rsidP="00F76C47">
            <w:pPr>
              <w:spacing w:before="40" w:after="40"/>
              <w:jc w:val="center"/>
              <w:rPr>
                <w:sz w:val="20"/>
                <w:szCs w:val="20"/>
              </w:rPr>
            </w:pPr>
            <w:r w:rsidRPr="00534F3B">
              <w:rPr>
                <w:sz w:val="20"/>
                <w:szCs w:val="20"/>
              </w:rPr>
              <w:t>0,061</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530" w:type="dxa"/>
          </w:tcPr>
          <w:p w:rsidR="00AD48E2" w:rsidRPr="00534F3B" w:rsidRDefault="00AD48E2" w:rsidP="00F76C47">
            <w:pPr>
              <w:spacing w:before="40" w:after="40"/>
              <w:jc w:val="center"/>
              <w:rPr>
                <w:sz w:val="20"/>
                <w:szCs w:val="20"/>
              </w:rPr>
            </w:pPr>
            <w:r w:rsidRPr="00534F3B">
              <w:rPr>
                <w:sz w:val="20"/>
                <w:szCs w:val="20"/>
              </w:rPr>
              <w:t>6,80</w:t>
            </w:r>
          </w:p>
        </w:tc>
        <w:tc>
          <w:tcPr>
            <w:tcW w:w="1440" w:type="dxa"/>
          </w:tcPr>
          <w:p w:rsidR="00AD48E2" w:rsidRPr="00534F3B" w:rsidRDefault="00AD48E2" w:rsidP="00F76C47">
            <w:pPr>
              <w:spacing w:before="40" w:after="40"/>
              <w:jc w:val="center"/>
              <w:rPr>
                <w:sz w:val="20"/>
                <w:szCs w:val="20"/>
              </w:rPr>
            </w:pPr>
            <w:r w:rsidRPr="00534F3B">
              <w:rPr>
                <w:sz w:val="20"/>
                <w:szCs w:val="20"/>
              </w:rPr>
              <w:t>8,0</w:t>
            </w:r>
          </w:p>
        </w:tc>
        <w:tc>
          <w:tcPr>
            <w:tcW w:w="1530" w:type="dxa"/>
          </w:tcPr>
          <w:p w:rsidR="00AD48E2" w:rsidRPr="00534F3B" w:rsidRDefault="00AD48E2" w:rsidP="00F76C47">
            <w:pPr>
              <w:spacing w:before="40" w:after="40"/>
              <w:jc w:val="center"/>
              <w:rPr>
                <w:sz w:val="20"/>
                <w:szCs w:val="20"/>
              </w:rPr>
            </w:pPr>
            <w:r w:rsidRPr="00534F3B">
              <w:rPr>
                <w:sz w:val="20"/>
                <w:szCs w:val="20"/>
              </w:rPr>
              <w:t>0,020</w:t>
            </w:r>
          </w:p>
        </w:tc>
        <w:tc>
          <w:tcPr>
            <w:tcW w:w="1620" w:type="dxa"/>
          </w:tcPr>
          <w:p w:rsidR="00AD48E2" w:rsidRPr="00534F3B" w:rsidRDefault="00AD48E2" w:rsidP="00F76C47">
            <w:pPr>
              <w:spacing w:before="40" w:after="40"/>
              <w:jc w:val="center"/>
              <w:rPr>
                <w:sz w:val="20"/>
                <w:szCs w:val="20"/>
              </w:rPr>
            </w:pPr>
            <w:r w:rsidRPr="00534F3B">
              <w:rPr>
                <w:sz w:val="20"/>
                <w:szCs w:val="20"/>
              </w:rPr>
              <w:t>0,024</w:t>
            </w:r>
          </w:p>
        </w:tc>
      </w:tr>
      <w:tr w:rsidR="00AD48E2" w:rsidRPr="00534F3B" w:rsidTr="00F76C47">
        <w:trPr>
          <w:trHeight w:val="20"/>
          <w:jc w:val="center"/>
        </w:trPr>
        <w:tc>
          <w:tcPr>
            <w:tcW w:w="216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1530" w:type="dxa"/>
          </w:tcPr>
          <w:p w:rsidR="00AD48E2" w:rsidRPr="00534F3B" w:rsidRDefault="00AD48E2" w:rsidP="00F76C47">
            <w:pPr>
              <w:spacing w:before="40" w:after="40"/>
              <w:jc w:val="center"/>
              <w:rPr>
                <w:sz w:val="20"/>
                <w:szCs w:val="20"/>
              </w:rPr>
            </w:pPr>
            <w:r w:rsidRPr="00534F3B">
              <w:rPr>
                <w:sz w:val="20"/>
                <w:szCs w:val="20"/>
              </w:rPr>
              <w:t>59,79</w:t>
            </w:r>
          </w:p>
        </w:tc>
        <w:tc>
          <w:tcPr>
            <w:tcW w:w="1440" w:type="dxa"/>
          </w:tcPr>
          <w:p w:rsidR="00AD48E2" w:rsidRPr="00534F3B" w:rsidRDefault="00AD48E2" w:rsidP="00F76C47">
            <w:pPr>
              <w:spacing w:before="40" w:after="40"/>
              <w:jc w:val="center"/>
              <w:rPr>
                <w:sz w:val="20"/>
                <w:szCs w:val="20"/>
              </w:rPr>
            </w:pPr>
            <w:r w:rsidRPr="00534F3B">
              <w:rPr>
                <w:sz w:val="20"/>
                <w:szCs w:val="20"/>
              </w:rPr>
              <w:t>629,8</w:t>
            </w:r>
          </w:p>
        </w:tc>
        <w:tc>
          <w:tcPr>
            <w:tcW w:w="1530" w:type="dxa"/>
          </w:tcPr>
          <w:p w:rsidR="00AD48E2" w:rsidRPr="00534F3B" w:rsidRDefault="00AD48E2" w:rsidP="00F76C47">
            <w:pPr>
              <w:spacing w:before="40" w:after="40"/>
              <w:jc w:val="center"/>
              <w:rPr>
                <w:sz w:val="20"/>
                <w:szCs w:val="20"/>
              </w:rPr>
            </w:pPr>
            <w:r w:rsidRPr="00534F3B">
              <w:rPr>
                <w:sz w:val="20"/>
                <w:szCs w:val="20"/>
              </w:rPr>
              <w:t>0,180</w:t>
            </w:r>
          </w:p>
        </w:tc>
        <w:tc>
          <w:tcPr>
            <w:tcW w:w="1620" w:type="dxa"/>
          </w:tcPr>
          <w:p w:rsidR="00AD48E2" w:rsidRPr="00534F3B" w:rsidRDefault="00AD48E2" w:rsidP="00F76C47">
            <w:pPr>
              <w:spacing w:before="40" w:after="40"/>
              <w:jc w:val="center"/>
              <w:rPr>
                <w:sz w:val="20"/>
                <w:szCs w:val="20"/>
              </w:rPr>
            </w:pPr>
            <w:r w:rsidRPr="00534F3B">
              <w:rPr>
                <w:sz w:val="20"/>
                <w:szCs w:val="20"/>
              </w:rPr>
              <w:t>1,897</w:t>
            </w:r>
          </w:p>
        </w:tc>
      </w:tr>
    </w:tbl>
    <w:p w:rsidR="00AD48E2" w:rsidRPr="00534F3B" w:rsidRDefault="00AD48E2" w:rsidP="00AD48E2">
      <w:pPr>
        <w:spacing w:line="300" w:lineRule="exact"/>
        <w:ind w:firstLine="284"/>
        <w:jc w:val="both"/>
        <w:rPr>
          <w:b/>
          <w:sz w:val="22"/>
          <w:szCs w:val="22"/>
        </w:rPr>
      </w:pPr>
    </w:p>
    <w:p w:rsidR="00AD48E2" w:rsidRPr="00534F3B" w:rsidRDefault="00AD48E2" w:rsidP="00AD48E2">
      <w:pPr>
        <w:spacing w:line="300" w:lineRule="exact"/>
        <w:ind w:firstLine="284"/>
        <w:jc w:val="both"/>
        <w:rPr>
          <w:b/>
          <w:sz w:val="22"/>
          <w:szCs w:val="22"/>
        </w:rPr>
      </w:pPr>
      <w:r w:rsidRPr="00534F3B">
        <w:rPr>
          <w:b/>
          <w:sz w:val="22"/>
          <w:szCs w:val="22"/>
        </w:rPr>
        <w:t>3.8. Относително тегло на пазарната капитализация</w:t>
      </w:r>
    </w:p>
    <w:p w:rsidR="00AD48E2" w:rsidRPr="00534F3B" w:rsidRDefault="00AD48E2" w:rsidP="00AD48E2">
      <w:pPr>
        <w:spacing w:line="300" w:lineRule="exact"/>
        <w:ind w:firstLine="284"/>
        <w:jc w:val="both"/>
        <w:rPr>
          <w:sz w:val="22"/>
          <w:szCs w:val="22"/>
        </w:rPr>
      </w:pPr>
      <w:r w:rsidRPr="00534F3B">
        <w:rPr>
          <w:sz w:val="22"/>
          <w:szCs w:val="22"/>
        </w:rPr>
        <w:t>Пазарна капитализация (борсовата стойност) на съответното дружество в процент от агрегир</w:t>
      </w:r>
      <w:r w:rsidRPr="00534F3B">
        <w:rPr>
          <w:sz w:val="22"/>
          <w:szCs w:val="22"/>
        </w:rPr>
        <w:t>а</w:t>
      </w:r>
      <w:r w:rsidRPr="00534F3B">
        <w:rPr>
          <w:sz w:val="22"/>
          <w:szCs w:val="22"/>
        </w:rPr>
        <w:t xml:space="preserve">ната пазарна капитализация за цялата борса или съответния пазарен сегмент </w:t>
      </w:r>
      <w:r w:rsidRPr="00534F3B">
        <w:rPr>
          <w:i/>
          <w:sz w:val="22"/>
          <w:szCs w:val="22"/>
        </w:rPr>
        <w:t>(MC</w:t>
      </w:r>
      <w:r w:rsidRPr="00534F3B">
        <w:rPr>
          <w:b/>
          <w:i/>
          <w:sz w:val="22"/>
          <w:szCs w:val="22"/>
          <w:vertAlign w:val="subscript"/>
        </w:rPr>
        <w:t xml:space="preserve">X </w:t>
      </w:r>
      <w:r w:rsidRPr="00534F3B">
        <w:rPr>
          <w:b/>
          <w:i/>
          <w:sz w:val="22"/>
          <w:szCs w:val="22"/>
        </w:rPr>
        <w:t xml:space="preserve">/ </w:t>
      </w:r>
      <w:r w:rsidRPr="00534F3B">
        <w:rPr>
          <w:i/>
          <w:sz w:val="22"/>
          <w:szCs w:val="22"/>
        </w:rPr>
        <w:t>MC</w:t>
      </w:r>
      <w:r w:rsidRPr="00534F3B">
        <w:rPr>
          <w:i/>
          <w:sz w:val="22"/>
          <w:szCs w:val="22"/>
          <w:vertAlign w:val="subscript"/>
        </w:rPr>
        <w:t>Agr</w:t>
      </w:r>
      <w:r w:rsidRPr="00534F3B">
        <w:rPr>
          <w:i/>
          <w:sz w:val="22"/>
          <w:szCs w:val="22"/>
        </w:rPr>
        <w:t xml:space="preserve">)*100. </w:t>
      </w:r>
      <w:r w:rsidRPr="00534F3B">
        <w:rPr>
          <w:sz w:val="22"/>
          <w:szCs w:val="22"/>
        </w:rPr>
        <w:t>В последната търговска сесия за декември 2017 г. за целия пазар на акции на БФБ (двата сегмента "основен пазар" и "алтернативен пазар") пазарната капитализация е 23.620.968.144 или приблиз</w:t>
      </w:r>
      <w:r w:rsidRPr="00534F3B">
        <w:rPr>
          <w:sz w:val="22"/>
          <w:szCs w:val="22"/>
        </w:rPr>
        <w:t>и</w:t>
      </w:r>
      <w:r w:rsidRPr="00534F3B">
        <w:rPr>
          <w:sz w:val="22"/>
          <w:szCs w:val="22"/>
        </w:rPr>
        <w:t>телно 23,621 милиарда лева.</w:t>
      </w:r>
      <w:r w:rsidRPr="00534F3B">
        <w:rPr>
          <w:rStyle w:val="FootnoteReference"/>
          <w:sz w:val="22"/>
          <w:szCs w:val="22"/>
        </w:rPr>
        <w:footnoteReference w:id="12"/>
      </w:r>
      <w:r w:rsidRPr="00534F3B">
        <w:rPr>
          <w:sz w:val="22"/>
          <w:szCs w:val="22"/>
        </w:rPr>
        <w:t xml:space="preserve"> (табл.8) </w:t>
      </w:r>
    </w:p>
    <w:p w:rsidR="00AD48E2" w:rsidRPr="00534F3B" w:rsidRDefault="00AD48E2" w:rsidP="00AD48E2">
      <w:pPr>
        <w:spacing w:line="300" w:lineRule="exact"/>
        <w:ind w:firstLine="284"/>
        <w:jc w:val="both"/>
        <w:rPr>
          <w:b/>
          <w:sz w:val="22"/>
          <w:szCs w:val="22"/>
        </w:rPr>
      </w:pPr>
    </w:p>
    <w:p w:rsidR="00AD48E2" w:rsidRPr="00534F3B" w:rsidRDefault="00AD48E2" w:rsidP="00AD48E2">
      <w:pPr>
        <w:pStyle w:val="Heading3"/>
      </w:pPr>
      <w:r w:rsidRPr="00534F3B">
        <w:t>4. Модел за комплексна оценка на пазарната ликвидност на дружествата</w:t>
      </w:r>
    </w:p>
    <w:p w:rsidR="00AD48E2" w:rsidRPr="00534F3B" w:rsidRDefault="00AD48E2" w:rsidP="00AD48E2">
      <w:pPr>
        <w:spacing w:line="300" w:lineRule="exact"/>
        <w:ind w:firstLine="284"/>
        <w:jc w:val="both"/>
        <w:rPr>
          <w:sz w:val="22"/>
          <w:szCs w:val="22"/>
        </w:rPr>
      </w:pPr>
      <w:r w:rsidRPr="00534F3B">
        <w:rPr>
          <w:sz w:val="22"/>
          <w:szCs w:val="22"/>
        </w:rPr>
        <w:t>Големият брой индикатори и показатели на пазарната ликвидност поставя необходимостта от обективен критерий за съпоставка при анализ на повече дружества. За целта поставяме комплексна формула за оценяване на пазарната ликвидност, логиката на чиято процедура включва три главни стъпки: а) Селектиране на необходимите и достатъчни индикатори и показатели; b) Преобразуване на натуралните индикатори и показатели в стойностно съпоставими коефициенти и c) Поставяне на относителни тегла за отделните индикатори и показатели.</w:t>
      </w:r>
    </w:p>
    <w:p w:rsidR="00AD48E2" w:rsidRPr="00534F3B" w:rsidRDefault="00AD48E2" w:rsidP="00AD48E2">
      <w:pPr>
        <w:spacing w:line="300" w:lineRule="exact"/>
        <w:ind w:firstLine="284"/>
        <w:jc w:val="both"/>
        <w:rPr>
          <w:sz w:val="22"/>
          <w:szCs w:val="22"/>
        </w:rPr>
      </w:pPr>
      <w:r w:rsidRPr="00534F3B">
        <w:rPr>
          <w:sz w:val="22"/>
          <w:szCs w:val="22"/>
        </w:rPr>
        <w:t>От една страна, данните за отделните индикатори имат различен мащаб и същевременно сто</w:t>
      </w:r>
      <w:r w:rsidRPr="00534F3B">
        <w:rPr>
          <w:sz w:val="22"/>
          <w:szCs w:val="22"/>
        </w:rPr>
        <w:t>й</w:t>
      </w:r>
      <w:r w:rsidRPr="00534F3B">
        <w:rPr>
          <w:sz w:val="22"/>
          <w:szCs w:val="22"/>
        </w:rPr>
        <w:t>ностите на изчислените показатели имат различна математическа форма (абсолютни стойности, коефициенти или проценти). За целите на обобщената оценка е необходимо те да бъдат представ</w:t>
      </w:r>
      <w:r w:rsidRPr="00534F3B">
        <w:rPr>
          <w:sz w:val="22"/>
          <w:szCs w:val="22"/>
        </w:rPr>
        <w:t>е</w:t>
      </w:r>
      <w:r w:rsidRPr="00534F3B">
        <w:rPr>
          <w:sz w:val="22"/>
          <w:szCs w:val="22"/>
        </w:rPr>
        <w:t>ни в стойностно съпоставими коефициенти. Абсолютните стойности като пазарна капитализация, брой акции, брой акционери и т.н. преобразуваме в коефициент, като за единица приемаме сто</w:t>
      </w:r>
      <w:r w:rsidRPr="00534F3B">
        <w:rPr>
          <w:sz w:val="22"/>
          <w:szCs w:val="22"/>
        </w:rPr>
        <w:t>й</w:t>
      </w:r>
      <w:r w:rsidRPr="00534F3B">
        <w:rPr>
          <w:sz w:val="22"/>
          <w:szCs w:val="22"/>
        </w:rPr>
        <w:t>ността на дружество с най-висока такава, за съответния индикатор или показател. По този начин стойността на всеки показател за останалите дружества се изразява като процент от показателя с най-висока стойност. Коефи</w:t>
      </w:r>
      <w:r w:rsidRPr="00534F3B">
        <w:rPr>
          <w:sz w:val="22"/>
          <w:szCs w:val="22"/>
        </w:rPr>
        <w:softHyphen/>
        <w:t>циентът на търговските дни и коефи</w:t>
      </w:r>
      <w:r w:rsidRPr="00534F3B">
        <w:rPr>
          <w:sz w:val="22"/>
          <w:szCs w:val="22"/>
        </w:rPr>
        <w:softHyphen/>
        <w:t>циентът на търгувания обем ост</w:t>
      </w:r>
      <w:r w:rsidRPr="00534F3B">
        <w:rPr>
          <w:sz w:val="22"/>
          <w:szCs w:val="22"/>
        </w:rPr>
        <w:t>а</w:t>
      </w:r>
      <w:r w:rsidRPr="00534F3B">
        <w:rPr>
          <w:sz w:val="22"/>
          <w:szCs w:val="22"/>
        </w:rPr>
        <w:t>ват в своя натурален формат, а процентът на фрий-флота представяме в коефициент.</w:t>
      </w:r>
    </w:p>
    <w:p w:rsidR="00AD48E2" w:rsidRPr="00534F3B" w:rsidRDefault="00AD48E2" w:rsidP="00AD48E2">
      <w:pPr>
        <w:spacing w:line="300" w:lineRule="exact"/>
        <w:ind w:firstLine="284"/>
        <w:jc w:val="both"/>
        <w:rPr>
          <w:sz w:val="22"/>
          <w:szCs w:val="22"/>
        </w:rPr>
      </w:pPr>
    </w:p>
    <w:tbl>
      <w:tblPr>
        <w:tblW w:w="9469"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left w:w="57" w:type="dxa"/>
          <w:right w:w="57" w:type="dxa"/>
        </w:tblCellMar>
        <w:tblLook w:val="04A0" w:firstRow="1" w:lastRow="0" w:firstColumn="1" w:lastColumn="0" w:noHBand="0" w:noVBand="1"/>
      </w:tblPr>
      <w:tblGrid>
        <w:gridCol w:w="6795"/>
        <w:gridCol w:w="2674"/>
      </w:tblGrid>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Коефициент на търговските дни</w:t>
            </w:r>
          </w:p>
        </w:tc>
        <w:tc>
          <w:tcPr>
            <w:tcW w:w="2160" w:type="dxa"/>
            <w:shd w:val="clear" w:color="auto" w:fill="auto"/>
            <w:vAlign w:val="center"/>
          </w:tcPr>
          <w:p w:rsidR="00AD48E2" w:rsidRPr="00534F3B" w:rsidRDefault="00AD48E2" w:rsidP="00F76C47">
            <w:pPr>
              <w:spacing w:line="300" w:lineRule="exact"/>
              <w:ind w:firstLine="284"/>
              <w:jc w:val="both"/>
              <w:rPr>
                <w:b/>
                <w:i/>
                <w:sz w:val="22"/>
                <w:szCs w:val="22"/>
              </w:rPr>
            </w:pPr>
            <w:r w:rsidRPr="00534F3B">
              <w:rPr>
                <w:i/>
                <w:sz w:val="22"/>
                <w:szCs w:val="22"/>
              </w:rPr>
              <w:t>TD(K)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Среднодневен брой сделки (Коефициент)</w:t>
            </w:r>
          </w:p>
        </w:tc>
        <w:tc>
          <w:tcPr>
            <w:tcW w:w="2160" w:type="dxa"/>
            <w:shd w:val="clear" w:color="auto" w:fill="auto"/>
            <w:vAlign w:val="center"/>
          </w:tcPr>
          <w:p w:rsidR="00AD48E2" w:rsidRPr="00534F3B" w:rsidRDefault="00AD48E2" w:rsidP="00F76C47">
            <w:pPr>
              <w:spacing w:line="300" w:lineRule="exact"/>
              <w:ind w:firstLine="284"/>
              <w:jc w:val="both"/>
              <w:rPr>
                <w:b/>
                <w:i/>
                <w:sz w:val="22"/>
                <w:szCs w:val="22"/>
              </w:rPr>
            </w:pPr>
            <w:r w:rsidRPr="00534F3B">
              <w:rPr>
                <w:i/>
                <w:sz w:val="22"/>
                <w:szCs w:val="22"/>
              </w:rPr>
              <w:t>Tract.N</w:t>
            </w:r>
            <w:r w:rsidRPr="00534F3B">
              <w:rPr>
                <w:b/>
                <w:i/>
                <w:sz w:val="22"/>
                <w:szCs w:val="22"/>
                <w:vertAlign w:val="subscript"/>
              </w:rPr>
              <w:t>DA</w:t>
            </w:r>
            <w:r w:rsidRPr="00534F3B">
              <w:rPr>
                <w:i/>
                <w:sz w:val="22"/>
                <w:szCs w:val="22"/>
              </w:rPr>
              <w:t>(K)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Среднодневен търгуван обем (Коефициент)</w:t>
            </w:r>
          </w:p>
        </w:tc>
        <w:tc>
          <w:tcPr>
            <w:tcW w:w="2160" w:type="dxa"/>
            <w:shd w:val="clear" w:color="auto" w:fill="auto"/>
            <w:vAlign w:val="center"/>
          </w:tcPr>
          <w:p w:rsidR="00AD48E2" w:rsidRPr="00534F3B" w:rsidRDefault="00AD48E2" w:rsidP="00F76C47">
            <w:pPr>
              <w:spacing w:line="300" w:lineRule="exact"/>
              <w:ind w:firstLine="284"/>
              <w:jc w:val="both"/>
              <w:rPr>
                <w:sz w:val="22"/>
                <w:szCs w:val="22"/>
              </w:rPr>
            </w:pPr>
            <w:r w:rsidRPr="00534F3B">
              <w:rPr>
                <w:i/>
                <w:sz w:val="22"/>
                <w:szCs w:val="22"/>
              </w:rPr>
              <w:t>TV</w:t>
            </w:r>
            <w:r w:rsidRPr="00534F3B">
              <w:rPr>
                <w:b/>
                <w:i/>
                <w:sz w:val="22"/>
                <w:szCs w:val="22"/>
                <w:vertAlign w:val="subscript"/>
              </w:rPr>
              <w:t>DA</w:t>
            </w:r>
            <w:r w:rsidRPr="00534F3B">
              <w:rPr>
                <w:i/>
                <w:sz w:val="22"/>
                <w:szCs w:val="22"/>
              </w:rPr>
              <w:t>(K)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Коефициент на търгувания обем</w:t>
            </w:r>
          </w:p>
        </w:tc>
        <w:tc>
          <w:tcPr>
            <w:tcW w:w="2160" w:type="dxa"/>
            <w:shd w:val="clear" w:color="auto" w:fill="auto"/>
            <w:vAlign w:val="center"/>
          </w:tcPr>
          <w:p w:rsidR="00AD48E2" w:rsidRPr="00534F3B" w:rsidRDefault="00AD48E2" w:rsidP="00F76C47">
            <w:pPr>
              <w:spacing w:line="300" w:lineRule="exact"/>
              <w:ind w:firstLine="284"/>
              <w:jc w:val="both"/>
              <w:rPr>
                <w:sz w:val="22"/>
                <w:szCs w:val="22"/>
              </w:rPr>
            </w:pPr>
            <w:r w:rsidRPr="00534F3B">
              <w:rPr>
                <w:i/>
                <w:sz w:val="22"/>
                <w:szCs w:val="22"/>
              </w:rPr>
              <w:t>TV(K)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Фрий-флоут в брой акции (Коефициент)</w:t>
            </w:r>
          </w:p>
        </w:tc>
        <w:tc>
          <w:tcPr>
            <w:tcW w:w="2160" w:type="dxa"/>
            <w:shd w:val="clear" w:color="auto" w:fill="auto"/>
            <w:vAlign w:val="center"/>
          </w:tcPr>
          <w:p w:rsidR="00AD48E2" w:rsidRPr="00534F3B" w:rsidRDefault="00AD48E2" w:rsidP="00F76C47">
            <w:pPr>
              <w:spacing w:line="300" w:lineRule="exact"/>
              <w:ind w:firstLine="284"/>
              <w:jc w:val="both"/>
              <w:rPr>
                <w:sz w:val="22"/>
                <w:szCs w:val="22"/>
              </w:rPr>
            </w:pPr>
            <w:r w:rsidRPr="00534F3B">
              <w:rPr>
                <w:i/>
                <w:sz w:val="22"/>
                <w:szCs w:val="22"/>
              </w:rPr>
              <w:t>Ff</w:t>
            </w:r>
            <w:r w:rsidRPr="00534F3B">
              <w:rPr>
                <w:b/>
                <w:i/>
                <w:sz w:val="22"/>
                <w:szCs w:val="22"/>
                <w:vertAlign w:val="subscript"/>
              </w:rPr>
              <w:t>NS</w:t>
            </w:r>
            <w:r w:rsidRPr="00534F3B">
              <w:rPr>
                <w:i/>
                <w:sz w:val="22"/>
                <w:szCs w:val="22"/>
              </w:rPr>
              <w:t>(K)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Фрий-флоут в процент</w:t>
            </w:r>
          </w:p>
        </w:tc>
        <w:tc>
          <w:tcPr>
            <w:tcW w:w="2160" w:type="dxa"/>
            <w:shd w:val="clear" w:color="auto" w:fill="auto"/>
            <w:vAlign w:val="center"/>
          </w:tcPr>
          <w:p w:rsidR="00AD48E2" w:rsidRPr="00534F3B" w:rsidRDefault="00AD48E2" w:rsidP="00F76C47">
            <w:pPr>
              <w:spacing w:line="300" w:lineRule="exact"/>
              <w:ind w:firstLine="284"/>
              <w:jc w:val="both"/>
              <w:rPr>
                <w:i/>
                <w:sz w:val="22"/>
                <w:szCs w:val="22"/>
              </w:rPr>
            </w:pPr>
            <w:r w:rsidRPr="00534F3B">
              <w:rPr>
                <w:i/>
                <w:sz w:val="22"/>
                <w:szCs w:val="22"/>
              </w:rPr>
              <w:t>Ff</w:t>
            </w:r>
            <w:r w:rsidRPr="00534F3B">
              <w:rPr>
                <w:b/>
                <w:i/>
                <w:sz w:val="22"/>
                <w:szCs w:val="22"/>
              </w:rPr>
              <w:t>(%)</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Пазарна капитализация относително тегло в агрегираната</w:t>
            </w:r>
          </w:p>
        </w:tc>
        <w:tc>
          <w:tcPr>
            <w:tcW w:w="2160" w:type="dxa"/>
            <w:shd w:val="clear" w:color="auto" w:fill="auto"/>
            <w:vAlign w:val="center"/>
          </w:tcPr>
          <w:p w:rsidR="00AD48E2" w:rsidRPr="00534F3B" w:rsidRDefault="00AD48E2" w:rsidP="00F76C47">
            <w:pPr>
              <w:spacing w:line="300" w:lineRule="exact"/>
              <w:ind w:firstLine="284"/>
              <w:jc w:val="both"/>
              <w:rPr>
                <w:sz w:val="22"/>
                <w:szCs w:val="22"/>
              </w:rPr>
            </w:pPr>
            <w:r w:rsidRPr="00534F3B">
              <w:rPr>
                <w:i/>
                <w:sz w:val="22"/>
                <w:szCs w:val="22"/>
              </w:rPr>
              <w:t>MC</w:t>
            </w:r>
            <w:r w:rsidRPr="00534F3B">
              <w:rPr>
                <w:b/>
                <w:i/>
                <w:sz w:val="22"/>
                <w:szCs w:val="22"/>
                <w:vertAlign w:val="subscript"/>
              </w:rPr>
              <w:t>RW</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lastRenderedPageBreak/>
              <w:t>Брой акции в цялата емисия (Коефициент)</w:t>
            </w:r>
          </w:p>
        </w:tc>
        <w:tc>
          <w:tcPr>
            <w:tcW w:w="2160" w:type="dxa"/>
            <w:shd w:val="clear" w:color="auto" w:fill="auto"/>
            <w:vAlign w:val="center"/>
          </w:tcPr>
          <w:p w:rsidR="00AD48E2" w:rsidRPr="00534F3B" w:rsidRDefault="00AD48E2" w:rsidP="00F76C47">
            <w:pPr>
              <w:spacing w:line="300" w:lineRule="exact"/>
              <w:ind w:firstLine="284"/>
              <w:jc w:val="both"/>
              <w:rPr>
                <w:i/>
                <w:sz w:val="22"/>
                <w:szCs w:val="22"/>
              </w:rPr>
            </w:pPr>
            <w:r w:rsidRPr="00534F3B">
              <w:rPr>
                <w:i/>
                <w:sz w:val="22"/>
                <w:szCs w:val="22"/>
              </w:rPr>
              <w:t>S</w:t>
            </w:r>
            <w:r w:rsidRPr="00534F3B">
              <w:rPr>
                <w:b/>
                <w:i/>
                <w:sz w:val="22"/>
                <w:szCs w:val="22"/>
                <w:vertAlign w:val="subscript"/>
              </w:rPr>
              <w:t>NI</w:t>
            </w:r>
            <w:r w:rsidRPr="00534F3B">
              <w:rPr>
                <w:i/>
                <w:sz w:val="22"/>
                <w:szCs w:val="22"/>
              </w:rPr>
              <w:t>(K)</w:t>
            </w:r>
          </w:p>
        </w:tc>
      </w:tr>
      <w:tr w:rsidR="00AD48E2" w:rsidRPr="00534F3B" w:rsidTr="00F76C47">
        <w:trPr>
          <w:trHeight w:val="20"/>
          <w:jc w:val="center"/>
        </w:trPr>
        <w:tc>
          <w:tcPr>
            <w:tcW w:w="5490" w:type="dxa"/>
            <w:shd w:val="clear" w:color="auto" w:fill="auto"/>
            <w:vAlign w:val="center"/>
          </w:tcPr>
          <w:p w:rsidR="00AD48E2" w:rsidRPr="00534F3B" w:rsidRDefault="00AD48E2" w:rsidP="00F76C47">
            <w:pPr>
              <w:spacing w:line="300" w:lineRule="exact"/>
              <w:ind w:firstLine="284"/>
              <w:jc w:val="both"/>
              <w:rPr>
                <w:sz w:val="22"/>
                <w:szCs w:val="22"/>
              </w:rPr>
            </w:pPr>
            <w:r w:rsidRPr="00534F3B">
              <w:rPr>
                <w:sz w:val="22"/>
                <w:szCs w:val="22"/>
              </w:rPr>
              <w:t>Брой акционери</w:t>
            </w:r>
          </w:p>
        </w:tc>
        <w:tc>
          <w:tcPr>
            <w:tcW w:w="2160" w:type="dxa"/>
            <w:shd w:val="clear" w:color="auto" w:fill="auto"/>
            <w:vAlign w:val="center"/>
          </w:tcPr>
          <w:p w:rsidR="00AD48E2" w:rsidRPr="00534F3B" w:rsidRDefault="00AD48E2" w:rsidP="00F76C47">
            <w:pPr>
              <w:spacing w:line="300" w:lineRule="exact"/>
              <w:ind w:firstLine="284"/>
              <w:jc w:val="both"/>
              <w:rPr>
                <w:i/>
                <w:sz w:val="22"/>
                <w:szCs w:val="22"/>
              </w:rPr>
            </w:pPr>
            <w:r w:rsidRPr="00534F3B">
              <w:rPr>
                <w:i/>
                <w:sz w:val="22"/>
                <w:szCs w:val="22"/>
              </w:rPr>
              <w:t>SH</w:t>
            </w:r>
            <w:r w:rsidRPr="00534F3B">
              <w:rPr>
                <w:b/>
                <w:i/>
                <w:sz w:val="22"/>
                <w:szCs w:val="22"/>
                <w:vertAlign w:val="subscript"/>
              </w:rPr>
              <w:t>N</w:t>
            </w:r>
            <w:r w:rsidRPr="00534F3B">
              <w:rPr>
                <w:i/>
                <w:sz w:val="22"/>
                <w:szCs w:val="22"/>
              </w:rPr>
              <w:t>(K)</w:t>
            </w:r>
          </w:p>
        </w:tc>
      </w:tr>
    </w:tbl>
    <w:p w:rsidR="00AD48E2" w:rsidRPr="00534F3B" w:rsidRDefault="00AD48E2" w:rsidP="00AD48E2">
      <w:pPr>
        <w:spacing w:line="300" w:lineRule="exact"/>
        <w:ind w:firstLine="284"/>
        <w:jc w:val="both"/>
        <w:rPr>
          <w:b/>
          <w:i/>
          <w:sz w:val="22"/>
          <w:szCs w:val="22"/>
        </w:rPr>
      </w:pPr>
    </w:p>
    <w:p w:rsidR="00AD48E2" w:rsidRPr="00534F3B" w:rsidRDefault="00AD48E2" w:rsidP="00AD48E2">
      <w:pPr>
        <w:pStyle w:val="FIG"/>
      </w:pPr>
      <w:r w:rsidRPr="00534F3B">
        <w:t>Таблица 10. Индикатори и показатели в коефициент</w:t>
      </w:r>
    </w:p>
    <w:tbl>
      <w:tblPr>
        <w:tblStyle w:val="TableGrid"/>
        <w:tblW w:w="9469" w:type="dxa"/>
        <w:jc w:val="center"/>
        <w:tblCellMar>
          <w:left w:w="57" w:type="dxa"/>
          <w:right w:w="57" w:type="dxa"/>
        </w:tblCellMar>
        <w:tblLook w:val="04A0" w:firstRow="1" w:lastRow="0" w:firstColumn="1" w:lastColumn="0" w:noHBand="0" w:noVBand="1"/>
      </w:tblPr>
      <w:tblGrid>
        <w:gridCol w:w="3641"/>
        <w:gridCol w:w="1457"/>
        <w:gridCol w:w="1457"/>
        <w:gridCol w:w="1457"/>
        <w:gridCol w:w="1457"/>
      </w:tblGrid>
      <w:tr w:rsidR="00AD48E2" w:rsidRPr="00534F3B" w:rsidTr="00F76C47">
        <w:trPr>
          <w:trHeight w:val="20"/>
          <w:jc w:val="center"/>
        </w:trPr>
        <w:tc>
          <w:tcPr>
            <w:tcW w:w="3150" w:type="dxa"/>
            <w:hideMark/>
          </w:tcPr>
          <w:p w:rsidR="00AD48E2" w:rsidRPr="00534F3B" w:rsidRDefault="00AD48E2" w:rsidP="00F76C47">
            <w:pPr>
              <w:spacing w:before="40" w:after="40"/>
              <w:jc w:val="center"/>
              <w:rPr>
                <w:sz w:val="20"/>
                <w:szCs w:val="20"/>
              </w:rPr>
            </w:pPr>
            <w:r w:rsidRPr="00534F3B">
              <w:rPr>
                <w:sz w:val="20"/>
                <w:szCs w:val="20"/>
              </w:rPr>
              <w:t>Дружество</w:t>
            </w:r>
          </w:p>
        </w:tc>
        <w:tc>
          <w:tcPr>
            <w:tcW w:w="1260" w:type="dxa"/>
            <w:hideMark/>
          </w:tcPr>
          <w:p w:rsidR="00AD48E2" w:rsidRPr="00534F3B" w:rsidRDefault="00AD48E2" w:rsidP="00F76C47">
            <w:pPr>
              <w:spacing w:before="40" w:after="40"/>
              <w:jc w:val="center"/>
              <w:rPr>
                <w:bCs/>
                <w:i/>
                <w:iCs/>
                <w:sz w:val="20"/>
                <w:szCs w:val="20"/>
              </w:rPr>
            </w:pPr>
            <w:r w:rsidRPr="00534F3B">
              <w:rPr>
                <w:bCs/>
                <w:i/>
                <w:iCs/>
                <w:sz w:val="20"/>
                <w:szCs w:val="20"/>
              </w:rPr>
              <w:t>TD</w:t>
            </w:r>
            <w:r w:rsidRPr="00534F3B">
              <w:rPr>
                <w:i/>
                <w:iCs/>
                <w:sz w:val="20"/>
                <w:szCs w:val="20"/>
              </w:rPr>
              <w:t>(K)</w:t>
            </w:r>
          </w:p>
        </w:tc>
        <w:tc>
          <w:tcPr>
            <w:tcW w:w="1260" w:type="dxa"/>
            <w:hideMark/>
          </w:tcPr>
          <w:p w:rsidR="00AD48E2" w:rsidRPr="00534F3B" w:rsidRDefault="00AD48E2" w:rsidP="00F76C47">
            <w:pPr>
              <w:spacing w:before="40" w:after="40"/>
              <w:jc w:val="center"/>
              <w:rPr>
                <w:i/>
                <w:iCs/>
                <w:sz w:val="20"/>
                <w:szCs w:val="20"/>
              </w:rPr>
            </w:pPr>
            <w:r w:rsidRPr="00534F3B">
              <w:rPr>
                <w:i/>
                <w:iCs/>
                <w:sz w:val="20"/>
                <w:szCs w:val="20"/>
              </w:rPr>
              <w:t>TN</w:t>
            </w:r>
            <w:r w:rsidRPr="00534F3B">
              <w:rPr>
                <w:bCs/>
                <w:i/>
                <w:iCs/>
                <w:sz w:val="20"/>
                <w:szCs w:val="20"/>
                <w:vertAlign w:val="subscript"/>
              </w:rPr>
              <w:t>DA</w:t>
            </w:r>
            <w:r w:rsidRPr="00534F3B">
              <w:rPr>
                <w:i/>
                <w:iCs/>
                <w:sz w:val="20"/>
                <w:szCs w:val="20"/>
              </w:rPr>
              <w:t>(K)</w:t>
            </w:r>
          </w:p>
        </w:tc>
        <w:tc>
          <w:tcPr>
            <w:tcW w:w="1260" w:type="dxa"/>
            <w:hideMark/>
          </w:tcPr>
          <w:p w:rsidR="00AD48E2" w:rsidRPr="00534F3B" w:rsidRDefault="00AD48E2" w:rsidP="00F76C47">
            <w:pPr>
              <w:spacing w:before="40" w:after="40"/>
              <w:jc w:val="center"/>
              <w:rPr>
                <w:i/>
                <w:iCs/>
                <w:sz w:val="20"/>
                <w:szCs w:val="20"/>
              </w:rPr>
            </w:pPr>
            <w:r w:rsidRPr="00534F3B">
              <w:rPr>
                <w:i/>
                <w:iCs/>
                <w:sz w:val="20"/>
                <w:szCs w:val="20"/>
              </w:rPr>
              <w:t>TV</w:t>
            </w:r>
            <w:r w:rsidRPr="00534F3B">
              <w:rPr>
                <w:bCs/>
                <w:i/>
                <w:iCs/>
                <w:sz w:val="20"/>
                <w:szCs w:val="20"/>
                <w:vertAlign w:val="subscript"/>
              </w:rPr>
              <w:t>DA</w:t>
            </w:r>
            <w:r w:rsidRPr="00534F3B">
              <w:rPr>
                <w:i/>
                <w:iCs/>
                <w:sz w:val="20"/>
                <w:szCs w:val="20"/>
              </w:rPr>
              <w:t>(K)</w:t>
            </w:r>
          </w:p>
        </w:tc>
        <w:tc>
          <w:tcPr>
            <w:tcW w:w="1260" w:type="dxa"/>
            <w:hideMark/>
          </w:tcPr>
          <w:p w:rsidR="00AD48E2" w:rsidRPr="00534F3B" w:rsidRDefault="00AD48E2" w:rsidP="00F76C47">
            <w:pPr>
              <w:spacing w:before="40" w:after="40"/>
              <w:jc w:val="center"/>
              <w:rPr>
                <w:i/>
                <w:iCs/>
                <w:sz w:val="20"/>
                <w:szCs w:val="20"/>
              </w:rPr>
            </w:pPr>
            <w:r w:rsidRPr="00534F3B">
              <w:rPr>
                <w:i/>
                <w:iCs/>
                <w:sz w:val="20"/>
                <w:szCs w:val="20"/>
              </w:rPr>
              <w:t>TV(K)</w:t>
            </w:r>
          </w:p>
        </w:tc>
      </w:tr>
      <w:tr w:rsidR="00AD48E2" w:rsidRPr="00534F3B" w:rsidTr="00F76C47">
        <w:trPr>
          <w:trHeight w:val="20"/>
          <w:jc w:val="center"/>
        </w:trPr>
        <w:tc>
          <w:tcPr>
            <w:tcW w:w="3150" w:type="dxa"/>
            <w:hideMark/>
          </w:tcPr>
          <w:p w:rsidR="00AD48E2" w:rsidRPr="00534F3B" w:rsidRDefault="00AD48E2" w:rsidP="00F76C47">
            <w:pPr>
              <w:spacing w:before="40" w:after="40"/>
              <w:rPr>
                <w:sz w:val="20"/>
                <w:szCs w:val="20"/>
              </w:rPr>
            </w:pPr>
            <w:r w:rsidRPr="00534F3B">
              <w:rPr>
                <w:sz w:val="20"/>
                <w:szCs w:val="20"/>
              </w:rPr>
              <w:t>Софарма</w:t>
            </w:r>
          </w:p>
        </w:tc>
        <w:tc>
          <w:tcPr>
            <w:tcW w:w="1260" w:type="dxa"/>
            <w:hideMark/>
          </w:tcPr>
          <w:p w:rsidR="00AD48E2" w:rsidRPr="00534F3B" w:rsidRDefault="00AD48E2" w:rsidP="00F76C47">
            <w:pPr>
              <w:spacing w:before="40" w:after="40"/>
              <w:jc w:val="center"/>
              <w:rPr>
                <w:b/>
                <w:sz w:val="20"/>
                <w:szCs w:val="20"/>
              </w:rPr>
            </w:pPr>
            <w:r w:rsidRPr="00534F3B">
              <w:rPr>
                <w:b/>
                <w:sz w:val="20"/>
                <w:szCs w:val="20"/>
              </w:rPr>
              <w:t>0,9819</w:t>
            </w:r>
          </w:p>
        </w:tc>
        <w:tc>
          <w:tcPr>
            <w:tcW w:w="1260" w:type="dxa"/>
            <w:hideMark/>
          </w:tcPr>
          <w:p w:rsidR="00AD48E2" w:rsidRPr="00534F3B" w:rsidRDefault="00AD48E2" w:rsidP="00F76C47">
            <w:pPr>
              <w:spacing w:before="40" w:after="40"/>
              <w:jc w:val="center"/>
              <w:rPr>
                <w:b/>
                <w:sz w:val="20"/>
                <w:szCs w:val="20"/>
              </w:rPr>
            </w:pPr>
            <w:r w:rsidRPr="00534F3B">
              <w:rPr>
                <w:b/>
                <w:sz w:val="20"/>
                <w:szCs w:val="20"/>
              </w:rPr>
              <w:t>1,0000</w:t>
            </w:r>
          </w:p>
        </w:tc>
        <w:tc>
          <w:tcPr>
            <w:tcW w:w="1260" w:type="dxa"/>
            <w:hideMark/>
          </w:tcPr>
          <w:p w:rsidR="00AD48E2" w:rsidRPr="00534F3B" w:rsidRDefault="00AD48E2" w:rsidP="00F76C47">
            <w:pPr>
              <w:spacing w:before="40" w:after="40"/>
              <w:jc w:val="center"/>
              <w:rPr>
                <w:b/>
                <w:sz w:val="20"/>
                <w:szCs w:val="20"/>
              </w:rPr>
            </w:pPr>
            <w:r w:rsidRPr="00534F3B">
              <w:rPr>
                <w:b/>
                <w:sz w:val="20"/>
                <w:szCs w:val="20"/>
              </w:rPr>
              <w:t>1,0000</w:t>
            </w:r>
          </w:p>
        </w:tc>
        <w:tc>
          <w:tcPr>
            <w:tcW w:w="1260" w:type="dxa"/>
          </w:tcPr>
          <w:p w:rsidR="00AD48E2" w:rsidRPr="00534F3B" w:rsidRDefault="00AD48E2" w:rsidP="00F76C47">
            <w:pPr>
              <w:spacing w:before="40" w:after="40"/>
              <w:jc w:val="center"/>
              <w:rPr>
                <w:sz w:val="20"/>
                <w:szCs w:val="20"/>
              </w:rPr>
            </w:pPr>
            <w:r w:rsidRPr="00534F3B">
              <w:rPr>
                <w:sz w:val="20"/>
                <w:szCs w:val="20"/>
              </w:rPr>
              <w:t>0,2069</w:t>
            </w:r>
          </w:p>
        </w:tc>
      </w:tr>
      <w:tr w:rsidR="00AD48E2" w:rsidRPr="00534F3B" w:rsidTr="00F76C47">
        <w:trPr>
          <w:trHeight w:val="20"/>
          <w:jc w:val="center"/>
        </w:trPr>
        <w:tc>
          <w:tcPr>
            <w:tcW w:w="3150" w:type="dxa"/>
            <w:hideMark/>
          </w:tcPr>
          <w:p w:rsidR="00AD48E2" w:rsidRPr="00534F3B" w:rsidRDefault="00AD48E2" w:rsidP="00F76C47">
            <w:pPr>
              <w:spacing w:before="40" w:after="40"/>
              <w:rPr>
                <w:sz w:val="20"/>
                <w:szCs w:val="20"/>
              </w:rPr>
            </w:pPr>
            <w:r w:rsidRPr="00534F3B">
              <w:rPr>
                <w:sz w:val="20"/>
                <w:szCs w:val="20"/>
              </w:rPr>
              <w:t>Доверие Об. Холдинг</w:t>
            </w:r>
          </w:p>
        </w:tc>
        <w:tc>
          <w:tcPr>
            <w:tcW w:w="1260" w:type="dxa"/>
            <w:hideMark/>
          </w:tcPr>
          <w:p w:rsidR="00AD48E2" w:rsidRPr="00534F3B" w:rsidRDefault="00AD48E2" w:rsidP="00F76C47">
            <w:pPr>
              <w:spacing w:before="40" w:after="40"/>
              <w:jc w:val="center"/>
              <w:rPr>
                <w:sz w:val="20"/>
                <w:szCs w:val="20"/>
              </w:rPr>
            </w:pPr>
            <w:r w:rsidRPr="00534F3B">
              <w:rPr>
                <w:sz w:val="20"/>
                <w:szCs w:val="20"/>
              </w:rPr>
              <w:t>0,8705</w:t>
            </w:r>
          </w:p>
        </w:tc>
        <w:tc>
          <w:tcPr>
            <w:tcW w:w="1260" w:type="dxa"/>
            <w:hideMark/>
          </w:tcPr>
          <w:p w:rsidR="00AD48E2" w:rsidRPr="00534F3B" w:rsidRDefault="00AD48E2" w:rsidP="00F76C47">
            <w:pPr>
              <w:spacing w:before="40" w:after="40"/>
              <w:jc w:val="center"/>
              <w:rPr>
                <w:sz w:val="20"/>
                <w:szCs w:val="20"/>
              </w:rPr>
            </w:pPr>
            <w:r w:rsidRPr="00534F3B">
              <w:rPr>
                <w:sz w:val="20"/>
                <w:szCs w:val="20"/>
              </w:rPr>
              <w:t>0,8890</w:t>
            </w:r>
          </w:p>
        </w:tc>
        <w:tc>
          <w:tcPr>
            <w:tcW w:w="1260" w:type="dxa"/>
            <w:hideMark/>
          </w:tcPr>
          <w:p w:rsidR="00AD48E2" w:rsidRPr="00534F3B" w:rsidRDefault="00AD48E2" w:rsidP="00F76C47">
            <w:pPr>
              <w:spacing w:before="40" w:after="40"/>
              <w:jc w:val="center"/>
              <w:rPr>
                <w:sz w:val="20"/>
                <w:szCs w:val="20"/>
              </w:rPr>
            </w:pPr>
            <w:r w:rsidRPr="00534F3B">
              <w:rPr>
                <w:sz w:val="20"/>
                <w:szCs w:val="20"/>
              </w:rPr>
              <w:t>0,3323</w:t>
            </w:r>
          </w:p>
        </w:tc>
        <w:tc>
          <w:tcPr>
            <w:tcW w:w="1260" w:type="dxa"/>
          </w:tcPr>
          <w:p w:rsidR="00AD48E2" w:rsidRPr="00534F3B" w:rsidRDefault="00AD48E2" w:rsidP="00F76C47">
            <w:pPr>
              <w:spacing w:before="40" w:after="40"/>
              <w:jc w:val="center"/>
              <w:rPr>
                <w:b/>
                <w:sz w:val="20"/>
                <w:szCs w:val="20"/>
              </w:rPr>
            </w:pPr>
            <w:r w:rsidRPr="00534F3B">
              <w:rPr>
                <w:b/>
                <w:sz w:val="20"/>
                <w:szCs w:val="20"/>
              </w:rPr>
              <w:t>0,4946</w:t>
            </w:r>
          </w:p>
        </w:tc>
      </w:tr>
      <w:tr w:rsidR="00AD48E2" w:rsidRPr="00534F3B" w:rsidTr="00F76C47">
        <w:trPr>
          <w:trHeight w:val="20"/>
          <w:jc w:val="center"/>
        </w:trPr>
        <w:tc>
          <w:tcPr>
            <w:tcW w:w="3150" w:type="dxa"/>
            <w:hideMark/>
          </w:tcPr>
          <w:p w:rsidR="00AD48E2" w:rsidRPr="00534F3B" w:rsidRDefault="00AD48E2" w:rsidP="00F76C47">
            <w:pPr>
              <w:spacing w:before="40" w:after="40"/>
              <w:rPr>
                <w:sz w:val="20"/>
                <w:szCs w:val="20"/>
              </w:rPr>
            </w:pPr>
            <w:r w:rsidRPr="00534F3B">
              <w:rPr>
                <w:sz w:val="20"/>
                <w:szCs w:val="20"/>
              </w:rPr>
              <w:t>Спарки Елтос</w:t>
            </w:r>
          </w:p>
        </w:tc>
        <w:tc>
          <w:tcPr>
            <w:tcW w:w="1260" w:type="dxa"/>
            <w:hideMark/>
          </w:tcPr>
          <w:p w:rsidR="00AD48E2" w:rsidRPr="00534F3B" w:rsidRDefault="00AD48E2" w:rsidP="00F76C47">
            <w:pPr>
              <w:spacing w:before="40" w:after="40"/>
              <w:jc w:val="center"/>
              <w:rPr>
                <w:sz w:val="20"/>
                <w:szCs w:val="20"/>
              </w:rPr>
            </w:pPr>
            <w:r w:rsidRPr="00534F3B">
              <w:rPr>
                <w:sz w:val="20"/>
                <w:szCs w:val="20"/>
              </w:rPr>
              <w:t>0,3373</w:t>
            </w:r>
          </w:p>
        </w:tc>
        <w:tc>
          <w:tcPr>
            <w:tcW w:w="1260" w:type="dxa"/>
            <w:hideMark/>
          </w:tcPr>
          <w:p w:rsidR="00AD48E2" w:rsidRPr="00534F3B" w:rsidRDefault="00AD48E2" w:rsidP="00F76C47">
            <w:pPr>
              <w:spacing w:before="40" w:after="40"/>
              <w:jc w:val="center"/>
              <w:rPr>
                <w:sz w:val="20"/>
                <w:szCs w:val="20"/>
              </w:rPr>
            </w:pPr>
            <w:r w:rsidRPr="00534F3B">
              <w:rPr>
                <w:sz w:val="20"/>
                <w:szCs w:val="20"/>
              </w:rPr>
              <w:t>0,0736</w:t>
            </w:r>
          </w:p>
        </w:tc>
        <w:tc>
          <w:tcPr>
            <w:tcW w:w="1260" w:type="dxa"/>
            <w:hideMark/>
          </w:tcPr>
          <w:p w:rsidR="00AD48E2" w:rsidRPr="00534F3B" w:rsidRDefault="00AD48E2" w:rsidP="00F76C47">
            <w:pPr>
              <w:spacing w:before="40" w:after="40"/>
              <w:jc w:val="center"/>
              <w:rPr>
                <w:b/>
                <w:i/>
                <w:sz w:val="20"/>
                <w:szCs w:val="20"/>
              </w:rPr>
            </w:pPr>
            <w:r w:rsidRPr="00534F3B">
              <w:rPr>
                <w:b/>
                <w:i/>
                <w:sz w:val="20"/>
                <w:szCs w:val="20"/>
              </w:rPr>
              <w:t>0,0103</w:t>
            </w:r>
          </w:p>
        </w:tc>
        <w:tc>
          <w:tcPr>
            <w:tcW w:w="1260" w:type="dxa"/>
          </w:tcPr>
          <w:p w:rsidR="00AD48E2" w:rsidRPr="00534F3B" w:rsidRDefault="00AD48E2" w:rsidP="00F76C47">
            <w:pPr>
              <w:spacing w:before="40" w:after="40"/>
              <w:jc w:val="center"/>
              <w:rPr>
                <w:sz w:val="20"/>
                <w:szCs w:val="20"/>
              </w:rPr>
            </w:pPr>
            <w:r w:rsidRPr="00534F3B">
              <w:rPr>
                <w:sz w:val="20"/>
                <w:szCs w:val="20"/>
              </w:rPr>
              <w:t>0,0715</w:t>
            </w:r>
          </w:p>
        </w:tc>
      </w:tr>
      <w:tr w:rsidR="00AD48E2" w:rsidRPr="00534F3B" w:rsidTr="00F76C47">
        <w:trPr>
          <w:trHeight w:val="20"/>
          <w:jc w:val="center"/>
        </w:trPr>
        <w:tc>
          <w:tcPr>
            <w:tcW w:w="3150" w:type="dxa"/>
            <w:hideMark/>
          </w:tcPr>
          <w:p w:rsidR="00AD48E2" w:rsidRPr="00534F3B" w:rsidRDefault="00AD48E2" w:rsidP="00F76C47">
            <w:pPr>
              <w:spacing w:before="40" w:after="40"/>
              <w:rPr>
                <w:sz w:val="20"/>
                <w:szCs w:val="20"/>
              </w:rPr>
            </w:pPr>
            <w:r w:rsidRPr="00534F3B">
              <w:rPr>
                <w:sz w:val="20"/>
                <w:szCs w:val="20"/>
              </w:rPr>
              <w:t>Първа Инвест. Банка</w:t>
            </w:r>
          </w:p>
        </w:tc>
        <w:tc>
          <w:tcPr>
            <w:tcW w:w="1260" w:type="dxa"/>
            <w:hideMark/>
          </w:tcPr>
          <w:p w:rsidR="00AD48E2" w:rsidRPr="00534F3B" w:rsidRDefault="00AD48E2" w:rsidP="00F76C47">
            <w:pPr>
              <w:spacing w:before="40" w:after="40"/>
              <w:jc w:val="center"/>
              <w:rPr>
                <w:sz w:val="20"/>
                <w:szCs w:val="20"/>
              </w:rPr>
            </w:pPr>
            <w:r w:rsidRPr="00534F3B">
              <w:rPr>
                <w:sz w:val="20"/>
                <w:szCs w:val="20"/>
              </w:rPr>
              <w:t>0,9187</w:t>
            </w:r>
          </w:p>
        </w:tc>
        <w:tc>
          <w:tcPr>
            <w:tcW w:w="1260" w:type="dxa"/>
            <w:hideMark/>
          </w:tcPr>
          <w:p w:rsidR="00AD48E2" w:rsidRPr="00534F3B" w:rsidRDefault="00AD48E2" w:rsidP="00F76C47">
            <w:pPr>
              <w:spacing w:before="40" w:after="40"/>
              <w:jc w:val="center"/>
              <w:rPr>
                <w:sz w:val="20"/>
                <w:szCs w:val="20"/>
              </w:rPr>
            </w:pPr>
            <w:r w:rsidRPr="00534F3B">
              <w:rPr>
                <w:sz w:val="20"/>
                <w:szCs w:val="20"/>
              </w:rPr>
              <w:t>0,7629</w:t>
            </w:r>
          </w:p>
        </w:tc>
        <w:tc>
          <w:tcPr>
            <w:tcW w:w="1260" w:type="dxa"/>
            <w:hideMark/>
          </w:tcPr>
          <w:p w:rsidR="00AD48E2" w:rsidRPr="00534F3B" w:rsidRDefault="00AD48E2" w:rsidP="00F76C47">
            <w:pPr>
              <w:spacing w:before="40" w:after="40"/>
              <w:jc w:val="center"/>
              <w:rPr>
                <w:sz w:val="20"/>
                <w:szCs w:val="20"/>
              </w:rPr>
            </w:pPr>
            <w:r w:rsidRPr="00534F3B">
              <w:rPr>
                <w:sz w:val="20"/>
                <w:szCs w:val="20"/>
              </w:rPr>
              <w:t>0,1352</w:t>
            </w:r>
          </w:p>
        </w:tc>
        <w:tc>
          <w:tcPr>
            <w:tcW w:w="1260" w:type="dxa"/>
          </w:tcPr>
          <w:p w:rsidR="00AD48E2" w:rsidRPr="00534F3B" w:rsidRDefault="00AD48E2" w:rsidP="00F76C47">
            <w:pPr>
              <w:spacing w:before="40" w:after="40"/>
              <w:jc w:val="center"/>
              <w:rPr>
                <w:sz w:val="20"/>
                <w:szCs w:val="20"/>
              </w:rPr>
            </w:pPr>
            <w:r w:rsidRPr="00534F3B">
              <w:rPr>
                <w:sz w:val="20"/>
                <w:szCs w:val="20"/>
              </w:rPr>
              <w:t>0,3428</w:t>
            </w:r>
          </w:p>
        </w:tc>
      </w:tr>
      <w:tr w:rsidR="00AD48E2" w:rsidRPr="00534F3B" w:rsidTr="00F76C47">
        <w:trPr>
          <w:trHeight w:val="20"/>
          <w:jc w:val="center"/>
        </w:trPr>
        <w:tc>
          <w:tcPr>
            <w:tcW w:w="3150" w:type="dxa"/>
            <w:hideMark/>
          </w:tcPr>
          <w:p w:rsidR="00AD48E2" w:rsidRPr="00534F3B" w:rsidRDefault="00AD48E2" w:rsidP="00F76C47">
            <w:pPr>
              <w:spacing w:before="40" w:after="40"/>
              <w:rPr>
                <w:sz w:val="20"/>
                <w:szCs w:val="20"/>
              </w:rPr>
            </w:pPr>
            <w:r w:rsidRPr="00534F3B">
              <w:rPr>
                <w:sz w:val="20"/>
                <w:szCs w:val="20"/>
              </w:rPr>
              <w:t>Елана Агрокредит</w:t>
            </w:r>
          </w:p>
        </w:tc>
        <w:tc>
          <w:tcPr>
            <w:tcW w:w="1260" w:type="dxa"/>
            <w:hideMark/>
          </w:tcPr>
          <w:p w:rsidR="00AD48E2" w:rsidRPr="00534F3B" w:rsidRDefault="00AD48E2" w:rsidP="00F76C47">
            <w:pPr>
              <w:spacing w:before="40" w:after="40"/>
              <w:jc w:val="center"/>
              <w:rPr>
                <w:sz w:val="20"/>
                <w:szCs w:val="20"/>
              </w:rPr>
            </w:pPr>
            <w:r w:rsidRPr="00534F3B">
              <w:rPr>
                <w:sz w:val="20"/>
                <w:szCs w:val="20"/>
              </w:rPr>
              <w:t>0,6235</w:t>
            </w:r>
          </w:p>
        </w:tc>
        <w:tc>
          <w:tcPr>
            <w:tcW w:w="1260" w:type="dxa"/>
            <w:hideMark/>
          </w:tcPr>
          <w:p w:rsidR="00AD48E2" w:rsidRPr="00534F3B" w:rsidRDefault="00AD48E2" w:rsidP="00F76C47">
            <w:pPr>
              <w:spacing w:before="40" w:after="40"/>
              <w:jc w:val="center"/>
              <w:rPr>
                <w:sz w:val="20"/>
                <w:szCs w:val="20"/>
              </w:rPr>
            </w:pPr>
            <w:r w:rsidRPr="00534F3B">
              <w:rPr>
                <w:sz w:val="20"/>
                <w:szCs w:val="20"/>
              </w:rPr>
              <w:t>0,1771</w:t>
            </w:r>
          </w:p>
        </w:tc>
        <w:tc>
          <w:tcPr>
            <w:tcW w:w="1260" w:type="dxa"/>
            <w:hideMark/>
          </w:tcPr>
          <w:p w:rsidR="00AD48E2" w:rsidRPr="00534F3B" w:rsidRDefault="00AD48E2" w:rsidP="00F76C47">
            <w:pPr>
              <w:spacing w:before="40" w:after="40"/>
              <w:jc w:val="center"/>
              <w:rPr>
                <w:sz w:val="20"/>
                <w:szCs w:val="20"/>
              </w:rPr>
            </w:pPr>
            <w:r w:rsidRPr="00534F3B">
              <w:rPr>
                <w:sz w:val="20"/>
                <w:szCs w:val="20"/>
              </w:rPr>
              <w:t>0,0736</w:t>
            </w:r>
          </w:p>
        </w:tc>
        <w:tc>
          <w:tcPr>
            <w:tcW w:w="1260" w:type="dxa"/>
          </w:tcPr>
          <w:p w:rsidR="00AD48E2" w:rsidRPr="00534F3B" w:rsidRDefault="00AD48E2" w:rsidP="00F76C47">
            <w:pPr>
              <w:spacing w:before="40" w:after="40"/>
              <w:jc w:val="center"/>
              <w:rPr>
                <w:sz w:val="20"/>
                <w:szCs w:val="20"/>
              </w:rPr>
            </w:pPr>
            <w:r w:rsidRPr="00534F3B">
              <w:rPr>
                <w:sz w:val="20"/>
                <w:szCs w:val="20"/>
              </w:rPr>
              <w:t>0,1086</w:t>
            </w:r>
          </w:p>
        </w:tc>
      </w:tr>
      <w:tr w:rsidR="00AD48E2" w:rsidRPr="00534F3B" w:rsidTr="00F76C47">
        <w:trPr>
          <w:trHeight w:val="20"/>
          <w:jc w:val="center"/>
        </w:trPr>
        <w:tc>
          <w:tcPr>
            <w:tcW w:w="315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260" w:type="dxa"/>
          </w:tcPr>
          <w:p w:rsidR="00AD48E2" w:rsidRPr="00534F3B" w:rsidRDefault="00AD48E2" w:rsidP="00F76C47">
            <w:pPr>
              <w:spacing w:before="40" w:after="40"/>
              <w:jc w:val="center"/>
              <w:rPr>
                <w:sz w:val="20"/>
                <w:szCs w:val="20"/>
              </w:rPr>
            </w:pPr>
            <w:r w:rsidRPr="00534F3B">
              <w:rPr>
                <w:sz w:val="20"/>
                <w:szCs w:val="20"/>
              </w:rPr>
              <w:t>0,3434</w:t>
            </w:r>
          </w:p>
        </w:tc>
        <w:tc>
          <w:tcPr>
            <w:tcW w:w="1260" w:type="dxa"/>
          </w:tcPr>
          <w:p w:rsidR="00AD48E2" w:rsidRPr="00534F3B" w:rsidRDefault="00AD48E2" w:rsidP="00F76C47">
            <w:pPr>
              <w:spacing w:before="40" w:after="40"/>
              <w:jc w:val="center"/>
              <w:rPr>
                <w:sz w:val="20"/>
                <w:szCs w:val="20"/>
              </w:rPr>
            </w:pPr>
            <w:r w:rsidRPr="00534F3B">
              <w:rPr>
                <w:sz w:val="20"/>
                <w:szCs w:val="20"/>
              </w:rPr>
              <w:t>0,0674</w:t>
            </w:r>
          </w:p>
        </w:tc>
        <w:tc>
          <w:tcPr>
            <w:tcW w:w="1260" w:type="dxa"/>
          </w:tcPr>
          <w:p w:rsidR="00AD48E2" w:rsidRPr="00534F3B" w:rsidRDefault="00AD48E2" w:rsidP="00F76C47">
            <w:pPr>
              <w:spacing w:before="40" w:after="40"/>
              <w:jc w:val="center"/>
              <w:rPr>
                <w:sz w:val="20"/>
                <w:szCs w:val="20"/>
              </w:rPr>
            </w:pPr>
            <w:r w:rsidRPr="00534F3B">
              <w:rPr>
                <w:sz w:val="20"/>
                <w:szCs w:val="20"/>
              </w:rPr>
              <w:t>0,0227</w:t>
            </w:r>
          </w:p>
        </w:tc>
        <w:tc>
          <w:tcPr>
            <w:tcW w:w="1260" w:type="dxa"/>
          </w:tcPr>
          <w:p w:rsidR="00AD48E2" w:rsidRPr="00534F3B" w:rsidRDefault="00AD48E2" w:rsidP="00F76C47">
            <w:pPr>
              <w:spacing w:before="40" w:after="40"/>
              <w:jc w:val="center"/>
              <w:rPr>
                <w:sz w:val="20"/>
                <w:szCs w:val="20"/>
              </w:rPr>
            </w:pPr>
            <w:r w:rsidRPr="00534F3B">
              <w:rPr>
                <w:sz w:val="20"/>
                <w:szCs w:val="20"/>
              </w:rPr>
              <w:t>0,4225</w:t>
            </w:r>
          </w:p>
        </w:tc>
      </w:tr>
      <w:tr w:rsidR="00AD48E2" w:rsidRPr="00534F3B" w:rsidTr="00F76C47">
        <w:trPr>
          <w:trHeight w:val="20"/>
          <w:jc w:val="center"/>
        </w:trPr>
        <w:tc>
          <w:tcPr>
            <w:tcW w:w="315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1260" w:type="dxa"/>
          </w:tcPr>
          <w:p w:rsidR="00AD48E2" w:rsidRPr="00534F3B" w:rsidRDefault="00AD48E2" w:rsidP="00F76C47">
            <w:pPr>
              <w:spacing w:before="40" w:after="40"/>
              <w:jc w:val="center"/>
              <w:rPr>
                <w:b/>
                <w:i/>
                <w:sz w:val="20"/>
                <w:szCs w:val="20"/>
              </w:rPr>
            </w:pPr>
            <w:r w:rsidRPr="00534F3B">
              <w:rPr>
                <w:b/>
                <w:i/>
                <w:sz w:val="20"/>
                <w:szCs w:val="20"/>
              </w:rPr>
              <w:t>0,1205</w:t>
            </w:r>
          </w:p>
        </w:tc>
        <w:tc>
          <w:tcPr>
            <w:tcW w:w="1260" w:type="dxa"/>
          </w:tcPr>
          <w:p w:rsidR="00AD48E2" w:rsidRPr="00534F3B" w:rsidRDefault="00AD48E2" w:rsidP="00F76C47">
            <w:pPr>
              <w:spacing w:before="40" w:after="40"/>
              <w:jc w:val="center"/>
              <w:rPr>
                <w:b/>
                <w:i/>
                <w:sz w:val="20"/>
                <w:szCs w:val="20"/>
              </w:rPr>
            </w:pPr>
            <w:r w:rsidRPr="00534F3B">
              <w:rPr>
                <w:b/>
                <w:i/>
                <w:sz w:val="20"/>
                <w:szCs w:val="20"/>
              </w:rPr>
              <w:t>0,0184</w:t>
            </w:r>
          </w:p>
        </w:tc>
        <w:tc>
          <w:tcPr>
            <w:tcW w:w="1260" w:type="dxa"/>
          </w:tcPr>
          <w:p w:rsidR="00AD48E2" w:rsidRPr="00534F3B" w:rsidRDefault="00AD48E2" w:rsidP="00F76C47">
            <w:pPr>
              <w:spacing w:before="40" w:after="40"/>
              <w:jc w:val="center"/>
              <w:rPr>
                <w:sz w:val="20"/>
                <w:szCs w:val="20"/>
              </w:rPr>
            </w:pPr>
            <w:r w:rsidRPr="00534F3B">
              <w:rPr>
                <w:sz w:val="20"/>
                <w:szCs w:val="20"/>
              </w:rPr>
              <w:t>0,0547</w:t>
            </w:r>
          </w:p>
        </w:tc>
        <w:tc>
          <w:tcPr>
            <w:tcW w:w="1260" w:type="dxa"/>
          </w:tcPr>
          <w:p w:rsidR="00AD48E2" w:rsidRPr="00534F3B" w:rsidRDefault="00AD48E2" w:rsidP="00F76C47">
            <w:pPr>
              <w:spacing w:before="40" w:after="40"/>
              <w:jc w:val="center"/>
              <w:rPr>
                <w:sz w:val="20"/>
                <w:szCs w:val="20"/>
              </w:rPr>
            </w:pPr>
            <w:r w:rsidRPr="00534F3B">
              <w:rPr>
                <w:sz w:val="20"/>
                <w:szCs w:val="20"/>
              </w:rPr>
              <w:t>0,2203</w:t>
            </w:r>
          </w:p>
        </w:tc>
      </w:tr>
    </w:tbl>
    <w:p w:rsidR="00AD48E2" w:rsidRPr="00534F3B" w:rsidRDefault="00AD48E2" w:rsidP="00AD48E2">
      <w:pPr>
        <w:spacing w:line="300" w:lineRule="exact"/>
        <w:ind w:firstLine="284"/>
        <w:jc w:val="both"/>
        <w:rPr>
          <w:b/>
          <w:i/>
          <w:sz w:val="22"/>
          <w:szCs w:val="22"/>
        </w:rPr>
      </w:pPr>
    </w:p>
    <w:tbl>
      <w:tblPr>
        <w:tblStyle w:val="TableGrid"/>
        <w:tblW w:w="9469" w:type="dxa"/>
        <w:jc w:val="center"/>
        <w:tblLayout w:type="fixed"/>
        <w:tblCellMar>
          <w:left w:w="57" w:type="dxa"/>
          <w:right w:w="57" w:type="dxa"/>
        </w:tblCellMar>
        <w:tblLook w:val="04A0" w:firstRow="1" w:lastRow="0" w:firstColumn="1" w:lastColumn="0" w:noHBand="0" w:noVBand="1"/>
      </w:tblPr>
      <w:tblGrid>
        <w:gridCol w:w="2080"/>
        <w:gridCol w:w="1561"/>
        <w:gridCol w:w="1457"/>
        <w:gridCol w:w="1457"/>
        <w:gridCol w:w="1457"/>
        <w:gridCol w:w="1457"/>
      </w:tblGrid>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Дружество</w:t>
            </w:r>
          </w:p>
        </w:tc>
        <w:tc>
          <w:tcPr>
            <w:tcW w:w="1350" w:type="dxa"/>
          </w:tcPr>
          <w:p w:rsidR="00AD48E2" w:rsidRPr="00534F3B" w:rsidRDefault="00AD48E2" w:rsidP="00F76C47">
            <w:pPr>
              <w:spacing w:before="40" w:after="40"/>
              <w:jc w:val="center"/>
              <w:rPr>
                <w:i/>
                <w:iCs/>
                <w:sz w:val="20"/>
                <w:szCs w:val="20"/>
              </w:rPr>
            </w:pPr>
            <w:r w:rsidRPr="00534F3B">
              <w:rPr>
                <w:i/>
                <w:iCs/>
                <w:sz w:val="20"/>
                <w:szCs w:val="20"/>
              </w:rPr>
              <w:t>Ff</w:t>
            </w:r>
            <w:r w:rsidRPr="00534F3B">
              <w:rPr>
                <w:bCs/>
                <w:i/>
                <w:iCs/>
                <w:sz w:val="20"/>
                <w:szCs w:val="20"/>
                <w:vertAlign w:val="subscript"/>
              </w:rPr>
              <w:t>NS</w:t>
            </w:r>
            <w:r w:rsidRPr="00534F3B">
              <w:rPr>
                <w:i/>
                <w:iCs/>
                <w:sz w:val="20"/>
                <w:szCs w:val="20"/>
              </w:rPr>
              <w:t>(K)</w:t>
            </w:r>
          </w:p>
        </w:tc>
        <w:tc>
          <w:tcPr>
            <w:tcW w:w="1260" w:type="dxa"/>
          </w:tcPr>
          <w:p w:rsidR="00AD48E2" w:rsidRPr="00534F3B" w:rsidRDefault="00AD48E2" w:rsidP="00F76C47">
            <w:pPr>
              <w:spacing w:before="40" w:after="40"/>
              <w:jc w:val="center"/>
              <w:rPr>
                <w:i/>
                <w:iCs/>
                <w:sz w:val="20"/>
                <w:szCs w:val="20"/>
              </w:rPr>
            </w:pPr>
            <w:r w:rsidRPr="00534F3B">
              <w:rPr>
                <w:i/>
                <w:iCs/>
                <w:sz w:val="20"/>
                <w:szCs w:val="20"/>
              </w:rPr>
              <w:t>Ff</w:t>
            </w:r>
            <w:r w:rsidRPr="00534F3B">
              <w:rPr>
                <w:b/>
                <w:bCs/>
                <w:i/>
                <w:iCs/>
                <w:sz w:val="20"/>
                <w:szCs w:val="20"/>
              </w:rPr>
              <w:t>(%)</w:t>
            </w:r>
          </w:p>
        </w:tc>
        <w:tc>
          <w:tcPr>
            <w:tcW w:w="1260" w:type="dxa"/>
          </w:tcPr>
          <w:p w:rsidR="00AD48E2" w:rsidRPr="00534F3B" w:rsidRDefault="00AD48E2" w:rsidP="00F76C47">
            <w:pPr>
              <w:spacing w:before="40" w:after="40"/>
              <w:jc w:val="center"/>
              <w:rPr>
                <w:i/>
                <w:iCs/>
                <w:sz w:val="20"/>
                <w:szCs w:val="20"/>
              </w:rPr>
            </w:pPr>
            <w:r w:rsidRPr="00534F3B">
              <w:rPr>
                <w:i/>
                <w:iCs/>
                <w:sz w:val="20"/>
                <w:szCs w:val="20"/>
              </w:rPr>
              <w:t>MC</w:t>
            </w:r>
            <w:r w:rsidRPr="00534F3B">
              <w:rPr>
                <w:b/>
                <w:bCs/>
                <w:i/>
                <w:iCs/>
                <w:sz w:val="20"/>
                <w:szCs w:val="20"/>
                <w:vertAlign w:val="subscript"/>
              </w:rPr>
              <w:t>RW</w:t>
            </w:r>
          </w:p>
        </w:tc>
        <w:tc>
          <w:tcPr>
            <w:tcW w:w="1260" w:type="dxa"/>
          </w:tcPr>
          <w:p w:rsidR="00AD48E2" w:rsidRPr="00534F3B" w:rsidRDefault="00AD48E2" w:rsidP="00F76C47">
            <w:pPr>
              <w:spacing w:before="40" w:after="40"/>
              <w:jc w:val="center"/>
              <w:rPr>
                <w:i/>
                <w:iCs/>
                <w:sz w:val="20"/>
                <w:szCs w:val="20"/>
              </w:rPr>
            </w:pPr>
            <w:r w:rsidRPr="00534F3B">
              <w:rPr>
                <w:i/>
                <w:iCs/>
                <w:sz w:val="20"/>
                <w:szCs w:val="20"/>
              </w:rPr>
              <w:t>SN(K)</w:t>
            </w:r>
          </w:p>
        </w:tc>
        <w:tc>
          <w:tcPr>
            <w:tcW w:w="1260" w:type="dxa"/>
          </w:tcPr>
          <w:p w:rsidR="00AD48E2" w:rsidRPr="00534F3B" w:rsidRDefault="00AD48E2" w:rsidP="00F76C47">
            <w:pPr>
              <w:spacing w:before="40" w:after="40"/>
              <w:jc w:val="center"/>
              <w:rPr>
                <w:i/>
                <w:iCs/>
                <w:sz w:val="20"/>
                <w:szCs w:val="20"/>
              </w:rPr>
            </w:pPr>
            <w:r w:rsidRPr="00534F3B">
              <w:rPr>
                <w:i/>
                <w:iCs/>
                <w:sz w:val="20"/>
                <w:szCs w:val="20"/>
              </w:rPr>
              <w:t>SH</w:t>
            </w:r>
            <w:r w:rsidRPr="00534F3B">
              <w:rPr>
                <w:i/>
                <w:iCs/>
                <w:sz w:val="20"/>
                <w:szCs w:val="20"/>
                <w:vertAlign w:val="subscript"/>
              </w:rPr>
              <w:t>N</w:t>
            </w:r>
            <w:r w:rsidRPr="00534F3B">
              <w:rPr>
                <w:i/>
                <w:iCs/>
                <w:sz w:val="20"/>
                <w:szCs w:val="20"/>
              </w:rPr>
              <w:t>(K)</w:t>
            </w:r>
          </w:p>
        </w:tc>
      </w:tr>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Софарма</w:t>
            </w:r>
          </w:p>
        </w:tc>
        <w:tc>
          <w:tcPr>
            <w:tcW w:w="1350" w:type="dxa"/>
          </w:tcPr>
          <w:p w:rsidR="00AD48E2" w:rsidRPr="00534F3B" w:rsidRDefault="00AD48E2" w:rsidP="00F76C47">
            <w:pPr>
              <w:spacing w:before="40" w:after="40"/>
              <w:jc w:val="center"/>
              <w:rPr>
                <w:b/>
                <w:sz w:val="20"/>
                <w:szCs w:val="20"/>
              </w:rPr>
            </w:pPr>
            <w:r w:rsidRPr="00534F3B">
              <w:rPr>
                <w:b/>
                <w:sz w:val="20"/>
                <w:szCs w:val="20"/>
              </w:rPr>
              <w:t>1,0000</w:t>
            </w:r>
          </w:p>
        </w:tc>
        <w:tc>
          <w:tcPr>
            <w:tcW w:w="1260" w:type="dxa"/>
          </w:tcPr>
          <w:p w:rsidR="00AD48E2" w:rsidRPr="00534F3B" w:rsidRDefault="00AD48E2" w:rsidP="00F76C47">
            <w:pPr>
              <w:spacing w:before="40" w:after="40"/>
              <w:jc w:val="center"/>
              <w:rPr>
                <w:sz w:val="20"/>
                <w:szCs w:val="20"/>
              </w:rPr>
            </w:pPr>
            <w:r w:rsidRPr="00534F3B">
              <w:rPr>
                <w:sz w:val="20"/>
                <w:szCs w:val="20"/>
              </w:rPr>
              <w:t>0,3187</w:t>
            </w:r>
          </w:p>
        </w:tc>
        <w:tc>
          <w:tcPr>
            <w:tcW w:w="1260" w:type="dxa"/>
          </w:tcPr>
          <w:p w:rsidR="00AD48E2" w:rsidRPr="00534F3B" w:rsidRDefault="00AD48E2" w:rsidP="00F76C47">
            <w:pPr>
              <w:spacing w:before="40" w:after="40"/>
              <w:jc w:val="center"/>
              <w:rPr>
                <w:sz w:val="20"/>
                <w:szCs w:val="20"/>
              </w:rPr>
            </w:pPr>
            <w:r w:rsidRPr="00534F3B">
              <w:rPr>
                <w:sz w:val="20"/>
                <w:szCs w:val="20"/>
              </w:rPr>
              <w:t>0,9630</w:t>
            </w:r>
          </w:p>
        </w:tc>
        <w:tc>
          <w:tcPr>
            <w:tcW w:w="1260" w:type="dxa"/>
          </w:tcPr>
          <w:p w:rsidR="00AD48E2" w:rsidRPr="00534F3B" w:rsidRDefault="00AD48E2" w:rsidP="00F76C47">
            <w:pPr>
              <w:spacing w:before="40" w:after="40"/>
              <w:jc w:val="center"/>
              <w:rPr>
                <w:b/>
                <w:sz w:val="20"/>
                <w:szCs w:val="20"/>
              </w:rPr>
            </w:pPr>
            <w:r w:rsidRPr="00534F3B">
              <w:rPr>
                <w:b/>
                <w:sz w:val="20"/>
                <w:szCs w:val="20"/>
              </w:rPr>
              <w:t>1,0000</w:t>
            </w:r>
          </w:p>
        </w:tc>
        <w:tc>
          <w:tcPr>
            <w:tcW w:w="1260" w:type="dxa"/>
          </w:tcPr>
          <w:p w:rsidR="00AD48E2" w:rsidRPr="00534F3B" w:rsidRDefault="00AD48E2" w:rsidP="00F76C47">
            <w:pPr>
              <w:spacing w:before="40" w:after="40"/>
              <w:jc w:val="center"/>
              <w:rPr>
                <w:sz w:val="20"/>
                <w:szCs w:val="20"/>
              </w:rPr>
            </w:pPr>
            <w:r w:rsidRPr="00534F3B">
              <w:rPr>
                <w:sz w:val="20"/>
                <w:szCs w:val="20"/>
              </w:rPr>
              <w:t>0,0406</w:t>
            </w:r>
          </w:p>
        </w:tc>
      </w:tr>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 xml:space="preserve">Доверие </w:t>
            </w:r>
          </w:p>
        </w:tc>
        <w:tc>
          <w:tcPr>
            <w:tcW w:w="1350" w:type="dxa"/>
          </w:tcPr>
          <w:p w:rsidR="00AD48E2" w:rsidRPr="00534F3B" w:rsidRDefault="00AD48E2" w:rsidP="00F76C47">
            <w:pPr>
              <w:spacing w:before="40" w:after="40"/>
              <w:jc w:val="center"/>
              <w:rPr>
                <w:sz w:val="20"/>
                <w:szCs w:val="20"/>
              </w:rPr>
            </w:pPr>
            <w:r w:rsidRPr="00534F3B">
              <w:rPr>
                <w:sz w:val="20"/>
                <w:szCs w:val="20"/>
              </w:rPr>
              <w:t>0,2884</w:t>
            </w:r>
          </w:p>
        </w:tc>
        <w:tc>
          <w:tcPr>
            <w:tcW w:w="1260" w:type="dxa"/>
          </w:tcPr>
          <w:p w:rsidR="00AD48E2" w:rsidRPr="00534F3B" w:rsidRDefault="00AD48E2" w:rsidP="00F76C47">
            <w:pPr>
              <w:spacing w:before="40" w:after="40"/>
              <w:jc w:val="center"/>
              <w:rPr>
                <w:b/>
                <w:sz w:val="20"/>
                <w:szCs w:val="20"/>
              </w:rPr>
            </w:pPr>
            <w:r w:rsidRPr="00534F3B">
              <w:rPr>
                <w:b/>
                <w:sz w:val="20"/>
                <w:szCs w:val="20"/>
              </w:rPr>
              <w:t>0,6612</w:t>
            </w:r>
          </w:p>
        </w:tc>
        <w:tc>
          <w:tcPr>
            <w:tcW w:w="1260" w:type="dxa"/>
          </w:tcPr>
          <w:p w:rsidR="00AD48E2" w:rsidRPr="00534F3B" w:rsidRDefault="00AD48E2" w:rsidP="00F76C47">
            <w:pPr>
              <w:spacing w:before="40" w:after="40"/>
              <w:jc w:val="center"/>
              <w:rPr>
                <w:sz w:val="20"/>
                <w:szCs w:val="20"/>
              </w:rPr>
            </w:pPr>
            <w:r w:rsidRPr="00534F3B">
              <w:rPr>
                <w:sz w:val="20"/>
                <w:szCs w:val="20"/>
              </w:rPr>
              <w:t>0,0650</w:t>
            </w:r>
          </w:p>
        </w:tc>
        <w:tc>
          <w:tcPr>
            <w:tcW w:w="1260" w:type="dxa"/>
          </w:tcPr>
          <w:p w:rsidR="00AD48E2" w:rsidRPr="00534F3B" w:rsidRDefault="00AD48E2" w:rsidP="00F76C47">
            <w:pPr>
              <w:spacing w:before="40" w:after="40"/>
              <w:jc w:val="center"/>
              <w:rPr>
                <w:sz w:val="20"/>
                <w:szCs w:val="20"/>
              </w:rPr>
            </w:pPr>
            <w:r w:rsidRPr="00534F3B">
              <w:rPr>
                <w:sz w:val="20"/>
                <w:szCs w:val="20"/>
              </w:rPr>
              <w:t>0,1390</w:t>
            </w:r>
          </w:p>
        </w:tc>
        <w:tc>
          <w:tcPr>
            <w:tcW w:w="1260" w:type="dxa"/>
          </w:tcPr>
          <w:p w:rsidR="00AD48E2" w:rsidRPr="00534F3B" w:rsidRDefault="00AD48E2" w:rsidP="00F76C47">
            <w:pPr>
              <w:spacing w:before="40" w:after="40"/>
              <w:jc w:val="center"/>
              <w:rPr>
                <w:b/>
                <w:sz w:val="20"/>
                <w:szCs w:val="20"/>
              </w:rPr>
            </w:pPr>
            <w:r w:rsidRPr="00534F3B">
              <w:rPr>
                <w:b/>
                <w:sz w:val="20"/>
                <w:szCs w:val="20"/>
              </w:rPr>
              <w:t>1,0000</w:t>
            </w:r>
          </w:p>
        </w:tc>
      </w:tr>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Спарки Е.</w:t>
            </w:r>
          </w:p>
        </w:tc>
        <w:tc>
          <w:tcPr>
            <w:tcW w:w="1350" w:type="dxa"/>
          </w:tcPr>
          <w:p w:rsidR="00AD48E2" w:rsidRPr="00534F3B" w:rsidRDefault="00AD48E2" w:rsidP="00F76C47">
            <w:pPr>
              <w:spacing w:before="40" w:after="40"/>
              <w:jc w:val="center"/>
              <w:rPr>
                <w:sz w:val="20"/>
                <w:szCs w:val="20"/>
              </w:rPr>
            </w:pPr>
            <w:r w:rsidRPr="00534F3B">
              <w:rPr>
                <w:sz w:val="20"/>
                <w:szCs w:val="20"/>
              </w:rPr>
              <w:t>0,1190</w:t>
            </w:r>
          </w:p>
        </w:tc>
        <w:tc>
          <w:tcPr>
            <w:tcW w:w="1260" w:type="dxa"/>
          </w:tcPr>
          <w:p w:rsidR="00AD48E2" w:rsidRPr="00534F3B" w:rsidRDefault="00AD48E2" w:rsidP="00F76C47">
            <w:pPr>
              <w:spacing w:before="40" w:after="40"/>
              <w:jc w:val="center"/>
              <w:rPr>
                <w:b/>
                <w:i/>
                <w:sz w:val="20"/>
                <w:szCs w:val="20"/>
              </w:rPr>
            </w:pPr>
            <w:r w:rsidRPr="00534F3B">
              <w:rPr>
                <w:b/>
                <w:i/>
                <w:sz w:val="20"/>
                <w:szCs w:val="20"/>
              </w:rPr>
              <w:t>0,1278</w:t>
            </w:r>
          </w:p>
        </w:tc>
        <w:tc>
          <w:tcPr>
            <w:tcW w:w="1260" w:type="dxa"/>
          </w:tcPr>
          <w:p w:rsidR="00AD48E2" w:rsidRPr="00534F3B" w:rsidRDefault="00AD48E2" w:rsidP="00F76C47">
            <w:pPr>
              <w:spacing w:before="40" w:after="40"/>
              <w:jc w:val="center"/>
              <w:rPr>
                <w:b/>
                <w:i/>
                <w:sz w:val="20"/>
                <w:szCs w:val="20"/>
              </w:rPr>
            </w:pPr>
            <w:r w:rsidRPr="00534F3B">
              <w:rPr>
                <w:b/>
                <w:i/>
                <w:sz w:val="20"/>
                <w:szCs w:val="20"/>
              </w:rPr>
              <w:t>0,0075</w:t>
            </w:r>
          </w:p>
        </w:tc>
        <w:tc>
          <w:tcPr>
            <w:tcW w:w="1260" w:type="dxa"/>
          </w:tcPr>
          <w:p w:rsidR="00AD48E2" w:rsidRPr="00534F3B" w:rsidRDefault="00AD48E2" w:rsidP="00F76C47">
            <w:pPr>
              <w:spacing w:before="40" w:after="40"/>
              <w:jc w:val="center"/>
              <w:rPr>
                <w:sz w:val="20"/>
                <w:szCs w:val="20"/>
              </w:rPr>
            </w:pPr>
            <w:r w:rsidRPr="00534F3B">
              <w:rPr>
                <w:sz w:val="20"/>
                <w:szCs w:val="20"/>
              </w:rPr>
              <w:t>0,2966</w:t>
            </w:r>
          </w:p>
        </w:tc>
        <w:tc>
          <w:tcPr>
            <w:tcW w:w="1260" w:type="dxa"/>
          </w:tcPr>
          <w:p w:rsidR="00AD48E2" w:rsidRPr="00534F3B" w:rsidRDefault="00AD48E2" w:rsidP="00F76C47">
            <w:pPr>
              <w:spacing w:before="40" w:after="40"/>
              <w:jc w:val="center"/>
              <w:rPr>
                <w:sz w:val="20"/>
                <w:szCs w:val="20"/>
              </w:rPr>
            </w:pPr>
            <w:r w:rsidRPr="00534F3B">
              <w:rPr>
                <w:sz w:val="20"/>
                <w:szCs w:val="20"/>
              </w:rPr>
              <w:t>0,0377</w:t>
            </w:r>
          </w:p>
        </w:tc>
      </w:tr>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ПИБ</w:t>
            </w:r>
          </w:p>
        </w:tc>
        <w:tc>
          <w:tcPr>
            <w:tcW w:w="1350" w:type="dxa"/>
          </w:tcPr>
          <w:p w:rsidR="00AD48E2" w:rsidRPr="00534F3B" w:rsidRDefault="00AD48E2" w:rsidP="00F76C47">
            <w:pPr>
              <w:spacing w:before="40" w:after="40"/>
              <w:jc w:val="center"/>
              <w:rPr>
                <w:sz w:val="20"/>
                <w:szCs w:val="20"/>
              </w:rPr>
            </w:pPr>
            <w:r w:rsidRPr="00534F3B">
              <w:rPr>
                <w:sz w:val="20"/>
                <w:szCs w:val="20"/>
              </w:rPr>
              <w:t>0,3841</w:t>
            </w:r>
          </w:p>
        </w:tc>
        <w:tc>
          <w:tcPr>
            <w:tcW w:w="1260" w:type="dxa"/>
          </w:tcPr>
          <w:p w:rsidR="00AD48E2" w:rsidRPr="00534F3B" w:rsidRDefault="00AD48E2" w:rsidP="00F76C47">
            <w:pPr>
              <w:spacing w:before="40" w:after="40"/>
              <w:jc w:val="center"/>
              <w:rPr>
                <w:sz w:val="20"/>
                <w:szCs w:val="20"/>
              </w:rPr>
            </w:pPr>
            <w:r w:rsidRPr="00534F3B">
              <w:rPr>
                <w:sz w:val="20"/>
                <w:szCs w:val="20"/>
              </w:rPr>
              <w:t>0,1500</w:t>
            </w:r>
          </w:p>
        </w:tc>
        <w:tc>
          <w:tcPr>
            <w:tcW w:w="1260" w:type="dxa"/>
          </w:tcPr>
          <w:p w:rsidR="00AD48E2" w:rsidRPr="00534F3B" w:rsidRDefault="00AD48E2" w:rsidP="00F76C47">
            <w:pPr>
              <w:spacing w:before="40" w:after="40"/>
              <w:jc w:val="center"/>
              <w:rPr>
                <w:b/>
                <w:sz w:val="20"/>
                <w:szCs w:val="20"/>
              </w:rPr>
            </w:pPr>
            <w:r w:rsidRPr="00534F3B">
              <w:rPr>
                <w:b/>
                <w:sz w:val="20"/>
                <w:szCs w:val="20"/>
              </w:rPr>
              <w:t>1,0000</w:t>
            </w:r>
          </w:p>
        </w:tc>
        <w:tc>
          <w:tcPr>
            <w:tcW w:w="1260" w:type="dxa"/>
          </w:tcPr>
          <w:p w:rsidR="00AD48E2" w:rsidRPr="00534F3B" w:rsidRDefault="00AD48E2" w:rsidP="00F76C47">
            <w:pPr>
              <w:spacing w:before="40" w:after="40"/>
              <w:jc w:val="center"/>
              <w:rPr>
                <w:sz w:val="20"/>
                <w:szCs w:val="20"/>
              </w:rPr>
            </w:pPr>
            <w:r w:rsidRPr="00534F3B">
              <w:rPr>
                <w:sz w:val="20"/>
                <w:szCs w:val="20"/>
              </w:rPr>
              <w:t>0,8160</w:t>
            </w:r>
          </w:p>
        </w:tc>
        <w:tc>
          <w:tcPr>
            <w:tcW w:w="1260" w:type="dxa"/>
          </w:tcPr>
          <w:p w:rsidR="00AD48E2" w:rsidRPr="00534F3B" w:rsidRDefault="00AD48E2" w:rsidP="00F76C47">
            <w:pPr>
              <w:spacing w:before="40" w:after="40"/>
              <w:jc w:val="center"/>
              <w:rPr>
                <w:sz w:val="20"/>
                <w:szCs w:val="20"/>
              </w:rPr>
            </w:pPr>
            <w:r w:rsidRPr="00534F3B">
              <w:rPr>
                <w:sz w:val="20"/>
                <w:szCs w:val="20"/>
              </w:rPr>
              <w:t>0,0131</w:t>
            </w:r>
          </w:p>
        </w:tc>
      </w:tr>
      <w:tr w:rsidR="00AD48E2" w:rsidRPr="00534F3B" w:rsidTr="00F76C47">
        <w:trPr>
          <w:trHeight w:val="20"/>
          <w:jc w:val="center"/>
        </w:trPr>
        <w:tc>
          <w:tcPr>
            <w:tcW w:w="1800" w:type="dxa"/>
            <w:hideMark/>
          </w:tcPr>
          <w:p w:rsidR="00AD48E2" w:rsidRPr="00534F3B" w:rsidRDefault="00AD48E2" w:rsidP="00F76C47">
            <w:pPr>
              <w:spacing w:before="40" w:after="40"/>
              <w:jc w:val="center"/>
              <w:rPr>
                <w:sz w:val="20"/>
                <w:szCs w:val="20"/>
              </w:rPr>
            </w:pPr>
            <w:r w:rsidRPr="00534F3B">
              <w:rPr>
                <w:sz w:val="20"/>
                <w:szCs w:val="20"/>
              </w:rPr>
              <w:t>Елана Агр.</w:t>
            </w:r>
          </w:p>
        </w:tc>
        <w:tc>
          <w:tcPr>
            <w:tcW w:w="1350" w:type="dxa"/>
          </w:tcPr>
          <w:p w:rsidR="00AD48E2" w:rsidRPr="00534F3B" w:rsidRDefault="00AD48E2" w:rsidP="00F76C47">
            <w:pPr>
              <w:spacing w:before="40" w:after="40"/>
              <w:jc w:val="center"/>
              <w:rPr>
                <w:sz w:val="20"/>
                <w:szCs w:val="20"/>
              </w:rPr>
            </w:pPr>
            <w:r w:rsidRPr="00534F3B">
              <w:rPr>
                <w:sz w:val="20"/>
                <w:szCs w:val="20"/>
              </w:rPr>
              <w:t>0,2466</w:t>
            </w:r>
          </w:p>
        </w:tc>
        <w:tc>
          <w:tcPr>
            <w:tcW w:w="1260" w:type="dxa"/>
          </w:tcPr>
          <w:p w:rsidR="00AD48E2" w:rsidRPr="00534F3B" w:rsidRDefault="00AD48E2" w:rsidP="00F76C47">
            <w:pPr>
              <w:spacing w:before="40" w:after="40"/>
              <w:jc w:val="center"/>
              <w:rPr>
                <w:sz w:val="20"/>
                <w:szCs w:val="20"/>
              </w:rPr>
            </w:pPr>
            <w:r w:rsidRPr="00534F3B">
              <w:rPr>
                <w:sz w:val="20"/>
                <w:szCs w:val="20"/>
              </w:rPr>
              <w:t>0,5605</w:t>
            </w:r>
          </w:p>
        </w:tc>
        <w:tc>
          <w:tcPr>
            <w:tcW w:w="1260" w:type="dxa"/>
          </w:tcPr>
          <w:p w:rsidR="00AD48E2" w:rsidRPr="00534F3B" w:rsidRDefault="00AD48E2" w:rsidP="00F76C47">
            <w:pPr>
              <w:spacing w:before="40" w:after="40"/>
              <w:jc w:val="center"/>
              <w:rPr>
                <w:sz w:val="20"/>
                <w:szCs w:val="20"/>
              </w:rPr>
            </w:pPr>
            <w:r w:rsidRPr="00534F3B">
              <w:rPr>
                <w:sz w:val="20"/>
                <w:szCs w:val="20"/>
              </w:rPr>
              <w:t>0,0418</w:t>
            </w:r>
          </w:p>
        </w:tc>
        <w:tc>
          <w:tcPr>
            <w:tcW w:w="1260" w:type="dxa"/>
          </w:tcPr>
          <w:p w:rsidR="00AD48E2" w:rsidRPr="00534F3B" w:rsidRDefault="00AD48E2" w:rsidP="00F76C47">
            <w:pPr>
              <w:spacing w:before="40" w:after="40"/>
              <w:jc w:val="center"/>
              <w:rPr>
                <w:sz w:val="20"/>
                <w:szCs w:val="20"/>
              </w:rPr>
            </w:pPr>
            <w:r w:rsidRPr="00534F3B">
              <w:rPr>
                <w:sz w:val="20"/>
                <w:szCs w:val="20"/>
              </w:rPr>
              <w:t>0,1402</w:t>
            </w:r>
          </w:p>
        </w:tc>
        <w:tc>
          <w:tcPr>
            <w:tcW w:w="1260" w:type="dxa"/>
          </w:tcPr>
          <w:p w:rsidR="00AD48E2" w:rsidRPr="00534F3B" w:rsidRDefault="00AD48E2" w:rsidP="00F76C47">
            <w:pPr>
              <w:spacing w:before="40" w:after="40"/>
              <w:jc w:val="center"/>
              <w:rPr>
                <w:sz w:val="20"/>
                <w:szCs w:val="20"/>
              </w:rPr>
            </w:pPr>
            <w:r w:rsidRPr="00534F3B">
              <w:rPr>
                <w:sz w:val="20"/>
                <w:szCs w:val="20"/>
              </w:rPr>
              <w:t>0,0026</w:t>
            </w:r>
          </w:p>
        </w:tc>
      </w:tr>
      <w:tr w:rsidR="00AD48E2" w:rsidRPr="00534F3B" w:rsidTr="00F76C47">
        <w:trPr>
          <w:trHeight w:val="20"/>
          <w:jc w:val="center"/>
        </w:trPr>
        <w:tc>
          <w:tcPr>
            <w:tcW w:w="1800" w:type="dxa"/>
          </w:tcPr>
          <w:p w:rsidR="00AD48E2" w:rsidRPr="00534F3B" w:rsidRDefault="00AD48E2" w:rsidP="00F76C47">
            <w:pPr>
              <w:spacing w:before="40" w:after="40"/>
              <w:jc w:val="center"/>
              <w:rPr>
                <w:sz w:val="20"/>
                <w:szCs w:val="20"/>
              </w:rPr>
            </w:pPr>
            <w:r w:rsidRPr="00534F3B">
              <w:rPr>
                <w:sz w:val="20"/>
                <w:szCs w:val="20"/>
              </w:rPr>
              <w:t>Булленд Инв.</w:t>
            </w:r>
          </w:p>
        </w:tc>
        <w:tc>
          <w:tcPr>
            <w:tcW w:w="1350" w:type="dxa"/>
          </w:tcPr>
          <w:p w:rsidR="00AD48E2" w:rsidRPr="00534F3B" w:rsidRDefault="00AD48E2" w:rsidP="00F76C47">
            <w:pPr>
              <w:spacing w:before="40" w:after="40"/>
              <w:jc w:val="center"/>
              <w:rPr>
                <w:sz w:val="20"/>
                <w:szCs w:val="20"/>
              </w:rPr>
            </w:pPr>
            <w:r w:rsidRPr="00534F3B">
              <w:rPr>
                <w:sz w:val="20"/>
                <w:szCs w:val="20"/>
              </w:rPr>
              <w:t>0,2171</w:t>
            </w:r>
          </w:p>
        </w:tc>
        <w:tc>
          <w:tcPr>
            <w:tcW w:w="1260" w:type="dxa"/>
          </w:tcPr>
          <w:p w:rsidR="00AD48E2" w:rsidRPr="00534F3B" w:rsidRDefault="00AD48E2" w:rsidP="00F76C47">
            <w:pPr>
              <w:spacing w:before="40" w:after="40"/>
              <w:jc w:val="center"/>
              <w:rPr>
                <w:sz w:val="20"/>
                <w:szCs w:val="20"/>
              </w:rPr>
            </w:pPr>
            <w:r w:rsidRPr="00534F3B">
              <w:rPr>
                <w:sz w:val="20"/>
                <w:szCs w:val="20"/>
              </w:rPr>
              <w:t>0,6215</w:t>
            </w:r>
          </w:p>
        </w:tc>
        <w:tc>
          <w:tcPr>
            <w:tcW w:w="1260" w:type="dxa"/>
          </w:tcPr>
          <w:p w:rsidR="00AD48E2" w:rsidRPr="00534F3B" w:rsidRDefault="00AD48E2" w:rsidP="00F76C47">
            <w:pPr>
              <w:spacing w:before="40" w:after="40"/>
              <w:jc w:val="center"/>
              <w:rPr>
                <w:sz w:val="20"/>
                <w:szCs w:val="20"/>
              </w:rPr>
            </w:pPr>
            <w:r w:rsidRPr="00534F3B">
              <w:rPr>
                <w:sz w:val="20"/>
                <w:szCs w:val="20"/>
              </w:rPr>
              <w:t>0,0193</w:t>
            </w:r>
          </w:p>
        </w:tc>
        <w:tc>
          <w:tcPr>
            <w:tcW w:w="1260" w:type="dxa"/>
          </w:tcPr>
          <w:p w:rsidR="00AD48E2" w:rsidRPr="00534F3B" w:rsidRDefault="00AD48E2" w:rsidP="00F76C47">
            <w:pPr>
              <w:spacing w:before="40" w:after="40"/>
              <w:jc w:val="center"/>
              <w:rPr>
                <w:sz w:val="20"/>
                <w:szCs w:val="20"/>
              </w:rPr>
            </w:pPr>
            <w:r w:rsidRPr="00534F3B">
              <w:rPr>
                <w:sz w:val="20"/>
                <w:szCs w:val="20"/>
              </w:rPr>
              <w:t>0,1113</w:t>
            </w:r>
          </w:p>
        </w:tc>
        <w:tc>
          <w:tcPr>
            <w:tcW w:w="1260" w:type="dxa"/>
          </w:tcPr>
          <w:p w:rsidR="00AD48E2" w:rsidRPr="00534F3B" w:rsidRDefault="00AD48E2" w:rsidP="00F76C47">
            <w:pPr>
              <w:spacing w:before="40" w:after="40"/>
              <w:jc w:val="center"/>
              <w:rPr>
                <w:sz w:val="20"/>
                <w:szCs w:val="20"/>
              </w:rPr>
            </w:pPr>
            <w:r w:rsidRPr="00534F3B">
              <w:rPr>
                <w:sz w:val="20"/>
                <w:szCs w:val="20"/>
              </w:rPr>
              <w:t>0,0012</w:t>
            </w:r>
          </w:p>
        </w:tc>
      </w:tr>
      <w:tr w:rsidR="00AD48E2" w:rsidRPr="00534F3B" w:rsidTr="00F76C47">
        <w:trPr>
          <w:trHeight w:val="20"/>
          <w:jc w:val="center"/>
        </w:trPr>
        <w:tc>
          <w:tcPr>
            <w:tcW w:w="1800" w:type="dxa"/>
          </w:tcPr>
          <w:p w:rsidR="00AD48E2" w:rsidRPr="00534F3B" w:rsidRDefault="00AD48E2" w:rsidP="00F76C47">
            <w:pPr>
              <w:spacing w:before="40" w:after="40"/>
              <w:jc w:val="center"/>
              <w:rPr>
                <w:sz w:val="20"/>
                <w:szCs w:val="20"/>
              </w:rPr>
            </w:pPr>
            <w:r w:rsidRPr="00534F3B">
              <w:rPr>
                <w:sz w:val="20"/>
                <w:szCs w:val="20"/>
              </w:rPr>
              <w:t>Болкан &amp; Сий</w:t>
            </w:r>
          </w:p>
        </w:tc>
        <w:tc>
          <w:tcPr>
            <w:tcW w:w="1350" w:type="dxa"/>
          </w:tcPr>
          <w:p w:rsidR="00AD48E2" w:rsidRPr="00534F3B" w:rsidRDefault="00AD48E2" w:rsidP="00F76C47">
            <w:pPr>
              <w:spacing w:before="40" w:after="40"/>
              <w:jc w:val="center"/>
              <w:rPr>
                <w:b/>
                <w:i/>
                <w:sz w:val="20"/>
                <w:szCs w:val="20"/>
              </w:rPr>
            </w:pPr>
            <w:r w:rsidRPr="00534F3B">
              <w:rPr>
                <w:b/>
                <w:i/>
                <w:sz w:val="20"/>
                <w:szCs w:val="20"/>
              </w:rPr>
              <w:t>0,0594</w:t>
            </w:r>
          </w:p>
        </w:tc>
        <w:tc>
          <w:tcPr>
            <w:tcW w:w="1260" w:type="dxa"/>
          </w:tcPr>
          <w:p w:rsidR="00AD48E2" w:rsidRPr="00534F3B" w:rsidRDefault="00AD48E2" w:rsidP="00F76C47">
            <w:pPr>
              <w:spacing w:before="40" w:after="40"/>
              <w:jc w:val="center"/>
              <w:rPr>
                <w:sz w:val="20"/>
                <w:szCs w:val="20"/>
              </w:rPr>
            </w:pPr>
            <w:r w:rsidRPr="00534F3B">
              <w:rPr>
                <w:sz w:val="20"/>
                <w:szCs w:val="20"/>
              </w:rPr>
              <w:t>0,3685</w:t>
            </w:r>
          </w:p>
        </w:tc>
        <w:tc>
          <w:tcPr>
            <w:tcW w:w="1260" w:type="dxa"/>
          </w:tcPr>
          <w:p w:rsidR="00AD48E2" w:rsidRPr="00534F3B" w:rsidRDefault="00AD48E2" w:rsidP="00F76C47">
            <w:pPr>
              <w:spacing w:before="40" w:after="40"/>
              <w:jc w:val="center"/>
              <w:rPr>
                <w:sz w:val="20"/>
                <w:szCs w:val="20"/>
              </w:rPr>
            </w:pPr>
            <w:r w:rsidRPr="00534F3B">
              <w:rPr>
                <w:sz w:val="20"/>
                <w:szCs w:val="20"/>
              </w:rPr>
              <w:t>0,0158</w:t>
            </w:r>
          </w:p>
        </w:tc>
        <w:tc>
          <w:tcPr>
            <w:tcW w:w="1260" w:type="dxa"/>
          </w:tcPr>
          <w:p w:rsidR="00AD48E2" w:rsidRPr="00534F3B" w:rsidRDefault="00AD48E2" w:rsidP="00F76C47">
            <w:pPr>
              <w:spacing w:before="40" w:after="40"/>
              <w:jc w:val="center"/>
              <w:rPr>
                <w:b/>
                <w:i/>
                <w:sz w:val="20"/>
                <w:szCs w:val="20"/>
              </w:rPr>
            </w:pPr>
            <w:r w:rsidRPr="00534F3B">
              <w:rPr>
                <w:b/>
                <w:i/>
                <w:sz w:val="20"/>
                <w:szCs w:val="20"/>
              </w:rPr>
              <w:t>0,0514</w:t>
            </w:r>
          </w:p>
        </w:tc>
        <w:tc>
          <w:tcPr>
            <w:tcW w:w="1260" w:type="dxa"/>
          </w:tcPr>
          <w:p w:rsidR="00AD48E2" w:rsidRPr="00534F3B" w:rsidRDefault="00AD48E2" w:rsidP="00F76C47">
            <w:pPr>
              <w:spacing w:before="40" w:after="40"/>
              <w:jc w:val="center"/>
              <w:rPr>
                <w:b/>
                <w:i/>
                <w:sz w:val="20"/>
                <w:szCs w:val="20"/>
              </w:rPr>
            </w:pPr>
            <w:r w:rsidRPr="00534F3B">
              <w:rPr>
                <w:b/>
                <w:i/>
                <w:sz w:val="20"/>
                <w:szCs w:val="20"/>
              </w:rPr>
              <w:t>0,0003</w:t>
            </w:r>
          </w:p>
        </w:tc>
      </w:tr>
    </w:tbl>
    <w:p w:rsidR="00AD48E2" w:rsidRPr="00534F3B" w:rsidRDefault="00AD48E2" w:rsidP="00AD48E2">
      <w:pPr>
        <w:spacing w:line="300" w:lineRule="exact"/>
        <w:ind w:firstLine="284"/>
        <w:jc w:val="both"/>
        <w:rPr>
          <w:b/>
          <w:i/>
          <w:sz w:val="22"/>
          <w:szCs w:val="22"/>
        </w:rPr>
      </w:pPr>
    </w:p>
    <w:p w:rsidR="00AD48E2" w:rsidRPr="00534F3B" w:rsidRDefault="00AD48E2" w:rsidP="00AD48E2">
      <w:pPr>
        <w:spacing w:line="300" w:lineRule="exact"/>
        <w:ind w:firstLine="284"/>
        <w:jc w:val="both"/>
        <w:rPr>
          <w:sz w:val="22"/>
          <w:szCs w:val="22"/>
        </w:rPr>
      </w:pPr>
      <w:r w:rsidRPr="00534F3B">
        <w:rPr>
          <w:sz w:val="22"/>
          <w:szCs w:val="22"/>
        </w:rPr>
        <w:t xml:space="preserve">За целите на комплексната оценка на пазарната ликвидност поставяме </w:t>
      </w:r>
      <w:r w:rsidRPr="00534F3B">
        <w:rPr>
          <w:b/>
          <w:sz w:val="22"/>
          <w:szCs w:val="22"/>
        </w:rPr>
        <w:t>тегла</w:t>
      </w:r>
      <w:r w:rsidRPr="00534F3B">
        <w:rPr>
          <w:sz w:val="22"/>
          <w:szCs w:val="22"/>
        </w:rPr>
        <w:t xml:space="preserve"> на селекти</w:t>
      </w:r>
      <w:r w:rsidRPr="00534F3B">
        <w:rPr>
          <w:sz w:val="22"/>
          <w:szCs w:val="22"/>
        </w:rPr>
        <w:softHyphen/>
        <w:t>раните показатели. Теглата в комплексната формула следва да отразяват обективно както относителната значимост на всеки отделен индикатор и показател, така и сумарната значимост на допълващите се и сходни по значение индикатори (като: коефициент на търгувания обем и среднодневен търгуван обем; фрий-флоут в процент и фрий-флоут в брой акции; брой акции във фрий-флоута и брой а</w:t>
      </w:r>
      <w:r w:rsidRPr="00534F3B">
        <w:rPr>
          <w:sz w:val="22"/>
          <w:szCs w:val="22"/>
        </w:rPr>
        <w:t>к</w:t>
      </w:r>
      <w:r w:rsidRPr="00534F3B">
        <w:rPr>
          <w:sz w:val="22"/>
          <w:szCs w:val="22"/>
        </w:rPr>
        <w:t xml:space="preserve">ции в цялата емисия). Така дефинираме </w:t>
      </w:r>
      <w:r w:rsidRPr="00534F3B">
        <w:rPr>
          <w:b/>
          <w:sz w:val="22"/>
          <w:szCs w:val="22"/>
        </w:rPr>
        <w:t>Коефициент на комплексна пазарна ликвидност</w:t>
      </w:r>
      <w:r w:rsidRPr="00534F3B">
        <w:rPr>
          <w:i/>
          <w:sz w:val="22"/>
          <w:szCs w:val="22"/>
        </w:rPr>
        <w:t xml:space="preserve"> CML(K)</w:t>
      </w:r>
      <w:r w:rsidRPr="00534F3B">
        <w:rPr>
          <w:sz w:val="22"/>
          <w:szCs w:val="22"/>
        </w:rPr>
        <w:t xml:space="preserve"> със следния израз:</w:t>
      </w:r>
    </w:p>
    <w:p w:rsidR="00AD48E2" w:rsidRPr="00534F3B" w:rsidRDefault="00AD48E2" w:rsidP="00AD48E2">
      <w:pPr>
        <w:spacing w:line="300" w:lineRule="exact"/>
        <w:ind w:firstLine="284"/>
        <w:jc w:val="both"/>
        <w:rPr>
          <w:b/>
          <w:i/>
          <w:sz w:val="22"/>
          <w:szCs w:val="22"/>
        </w:rPr>
      </w:pPr>
    </w:p>
    <w:p w:rsidR="00AD48E2" w:rsidRPr="00534F3B" w:rsidRDefault="00AD48E2" w:rsidP="00AD48E2">
      <w:pPr>
        <w:spacing w:line="300" w:lineRule="exact"/>
        <w:ind w:firstLine="284"/>
        <w:jc w:val="both"/>
        <w:rPr>
          <w:i/>
          <w:iCs/>
          <w:sz w:val="22"/>
          <w:szCs w:val="22"/>
        </w:rPr>
      </w:pPr>
      <w:r w:rsidRPr="00534F3B">
        <w:rPr>
          <w:b/>
          <w:i/>
          <w:sz w:val="22"/>
          <w:szCs w:val="22"/>
        </w:rPr>
        <w:t>CML(K) = TD</w:t>
      </w:r>
      <w:r w:rsidRPr="00534F3B">
        <w:rPr>
          <w:i/>
          <w:sz w:val="22"/>
          <w:szCs w:val="22"/>
        </w:rPr>
        <w:t>(K)</w:t>
      </w:r>
      <w:r w:rsidRPr="00534F3B">
        <w:rPr>
          <w:b/>
          <w:i/>
          <w:sz w:val="22"/>
          <w:szCs w:val="22"/>
          <w:vertAlign w:val="subscript"/>
        </w:rPr>
        <w:t xml:space="preserve"> </w:t>
      </w:r>
      <w:r w:rsidRPr="00534F3B">
        <w:rPr>
          <w:b/>
          <w:sz w:val="22"/>
          <w:szCs w:val="22"/>
          <w:vertAlign w:val="subscript"/>
        </w:rPr>
        <w:t>*</w:t>
      </w:r>
      <w:r w:rsidRPr="00534F3B">
        <w:rPr>
          <w:b/>
          <w:sz w:val="22"/>
          <w:szCs w:val="22"/>
        </w:rPr>
        <w:t xml:space="preserve"> </w:t>
      </w:r>
      <w:r w:rsidRPr="00534F3B">
        <w:rPr>
          <w:b/>
          <w:i/>
          <w:sz w:val="22"/>
          <w:szCs w:val="22"/>
        </w:rPr>
        <w:t>0,26 + TN</w:t>
      </w:r>
      <w:r w:rsidRPr="00534F3B">
        <w:rPr>
          <w:b/>
          <w:i/>
          <w:sz w:val="22"/>
          <w:szCs w:val="22"/>
          <w:vertAlign w:val="subscript"/>
        </w:rPr>
        <w:t>DA</w:t>
      </w:r>
      <w:r w:rsidRPr="00534F3B">
        <w:rPr>
          <w:i/>
          <w:sz w:val="22"/>
          <w:szCs w:val="22"/>
        </w:rPr>
        <w:t>(K)</w:t>
      </w:r>
      <w:r w:rsidRPr="00534F3B">
        <w:rPr>
          <w:b/>
          <w:i/>
          <w:sz w:val="22"/>
          <w:szCs w:val="22"/>
        </w:rPr>
        <w:t xml:space="preserve"> *</w:t>
      </w:r>
      <w:r w:rsidRPr="00534F3B">
        <w:rPr>
          <w:b/>
          <w:sz w:val="22"/>
          <w:szCs w:val="22"/>
        </w:rPr>
        <w:t xml:space="preserve"> </w:t>
      </w:r>
      <w:r w:rsidRPr="00534F3B">
        <w:rPr>
          <w:b/>
          <w:i/>
          <w:sz w:val="22"/>
          <w:szCs w:val="22"/>
        </w:rPr>
        <w:t>0,24+ TV</w:t>
      </w:r>
      <w:r w:rsidRPr="00534F3B">
        <w:rPr>
          <w:b/>
          <w:i/>
          <w:sz w:val="22"/>
          <w:szCs w:val="22"/>
          <w:vertAlign w:val="subscript"/>
        </w:rPr>
        <w:t xml:space="preserve">DA </w:t>
      </w:r>
      <w:r w:rsidRPr="00534F3B">
        <w:rPr>
          <w:b/>
          <w:sz w:val="22"/>
          <w:szCs w:val="22"/>
          <w:vertAlign w:val="subscript"/>
        </w:rPr>
        <w:t>*</w:t>
      </w:r>
      <w:r w:rsidRPr="00534F3B">
        <w:rPr>
          <w:b/>
          <w:i/>
          <w:sz w:val="22"/>
          <w:szCs w:val="22"/>
        </w:rPr>
        <w:t xml:space="preserve"> 0,11 + </w:t>
      </w:r>
      <w:r w:rsidRPr="00534F3B">
        <w:rPr>
          <w:b/>
          <w:i/>
          <w:iCs/>
          <w:sz w:val="22"/>
          <w:szCs w:val="22"/>
        </w:rPr>
        <w:t>TV(K)</w:t>
      </w:r>
      <w:r w:rsidRPr="00534F3B">
        <w:rPr>
          <w:b/>
          <w:sz w:val="22"/>
          <w:szCs w:val="22"/>
          <w:vertAlign w:val="subscript"/>
        </w:rPr>
        <w:t xml:space="preserve"> *</w:t>
      </w:r>
      <w:r w:rsidRPr="00534F3B">
        <w:rPr>
          <w:b/>
          <w:i/>
          <w:sz w:val="22"/>
          <w:szCs w:val="22"/>
        </w:rPr>
        <w:t xml:space="preserve"> 0,11 +</w:t>
      </w:r>
    </w:p>
    <w:p w:rsidR="00AD48E2" w:rsidRPr="00534F3B" w:rsidRDefault="00AD48E2" w:rsidP="00AD48E2">
      <w:pPr>
        <w:spacing w:line="300" w:lineRule="exact"/>
        <w:ind w:firstLine="284"/>
        <w:jc w:val="both"/>
        <w:rPr>
          <w:b/>
          <w:i/>
          <w:sz w:val="22"/>
          <w:szCs w:val="22"/>
        </w:rPr>
      </w:pPr>
      <w:r w:rsidRPr="00534F3B">
        <w:rPr>
          <w:b/>
          <w:i/>
          <w:sz w:val="22"/>
          <w:szCs w:val="22"/>
        </w:rPr>
        <w:t xml:space="preserve"> Ff</w:t>
      </w:r>
      <w:r w:rsidRPr="00534F3B">
        <w:rPr>
          <w:b/>
          <w:i/>
          <w:sz w:val="22"/>
          <w:szCs w:val="22"/>
          <w:vertAlign w:val="subscript"/>
        </w:rPr>
        <w:t xml:space="preserve">NS </w:t>
      </w:r>
      <w:r w:rsidRPr="00534F3B">
        <w:rPr>
          <w:b/>
          <w:sz w:val="22"/>
          <w:szCs w:val="22"/>
          <w:vertAlign w:val="subscript"/>
        </w:rPr>
        <w:t>*</w:t>
      </w:r>
      <w:r w:rsidRPr="00534F3B">
        <w:rPr>
          <w:sz w:val="22"/>
          <w:szCs w:val="22"/>
        </w:rPr>
        <w:t xml:space="preserve"> </w:t>
      </w:r>
      <w:r w:rsidRPr="00534F3B">
        <w:rPr>
          <w:b/>
          <w:i/>
          <w:sz w:val="22"/>
          <w:szCs w:val="22"/>
        </w:rPr>
        <w:t>0,08 + Ff</w:t>
      </w:r>
      <w:r w:rsidRPr="00534F3B">
        <w:rPr>
          <w:i/>
          <w:sz w:val="22"/>
          <w:szCs w:val="22"/>
        </w:rPr>
        <w:t>(</w:t>
      </w:r>
      <w:r w:rsidRPr="00534F3B">
        <w:rPr>
          <w:b/>
          <w:i/>
          <w:sz w:val="22"/>
          <w:szCs w:val="22"/>
        </w:rPr>
        <w:t>%</w:t>
      </w:r>
      <w:r w:rsidRPr="00534F3B">
        <w:rPr>
          <w:i/>
          <w:sz w:val="22"/>
          <w:szCs w:val="22"/>
        </w:rPr>
        <w:t>)</w:t>
      </w:r>
      <w:r w:rsidRPr="00534F3B">
        <w:rPr>
          <w:b/>
          <w:i/>
          <w:sz w:val="22"/>
          <w:szCs w:val="22"/>
          <w:vertAlign w:val="subscript"/>
        </w:rPr>
        <w:t xml:space="preserve"> </w:t>
      </w:r>
      <w:r w:rsidRPr="00534F3B">
        <w:rPr>
          <w:b/>
          <w:sz w:val="22"/>
          <w:szCs w:val="22"/>
          <w:vertAlign w:val="subscript"/>
        </w:rPr>
        <w:t>*</w:t>
      </w:r>
      <w:r w:rsidRPr="00534F3B">
        <w:rPr>
          <w:sz w:val="22"/>
          <w:szCs w:val="22"/>
        </w:rPr>
        <w:t xml:space="preserve"> </w:t>
      </w:r>
      <w:r w:rsidRPr="00534F3B">
        <w:rPr>
          <w:b/>
          <w:i/>
          <w:sz w:val="22"/>
          <w:szCs w:val="22"/>
        </w:rPr>
        <w:t xml:space="preserve">0,08 + </w:t>
      </w:r>
      <w:r w:rsidRPr="00534F3B">
        <w:rPr>
          <w:i/>
          <w:sz w:val="22"/>
          <w:szCs w:val="22"/>
        </w:rPr>
        <w:t>MC</w:t>
      </w:r>
      <w:r w:rsidRPr="00534F3B">
        <w:rPr>
          <w:b/>
          <w:i/>
          <w:sz w:val="22"/>
          <w:szCs w:val="22"/>
          <w:vertAlign w:val="subscript"/>
        </w:rPr>
        <w:t xml:space="preserve">RW </w:t>
      </w:r>
      <w:r w:rsidRPr="00534F3B">
        <w:rPr>
          <w:b/>
          <w:sz w:val="22"/>
          <w:szCs w:val="22"/>
          <w:vertAlign w:val="subscript"/>
        </w:rPr>
        <w:t>*</w:t>
      </w:r>
      <w:r w:rsidRPr="00534F3B">
        <w:rPr>
          <w:b/>
          <w:i/>
          <w:sz w:val="22"/>
          <w:szCs w:val="22"/>
        </w:rPr>
        <w:t xml:space="preserve"> 0,04 + </w:t>
      </w:r>
      <w:r w:rsidRPr="00534F3B">
        <w:rPr>
          <w:i/>
          <w:sz w:val="22"/>
          <w:szCs w:val="22"/>
        </w:rPr>
        <w:t>SN(K)</w:t>
      </w:r>
      <w:r w:rsidRPr="00534F3B">
        <w:rPr>
          <w:b/>
          <w:i/>
          <w:sz w:val="22"/>
          <w:szCs w:val="22"/>
          <w:vertAlign w:val="subscript"/>
        </w:rPr>
        <w:t xml:space="preserve"> </w:t>
      </w:r>
      <w:r w:rsidRPr="00534F3B">
        <w:rPr>
          <w:b/>
          <w:sz w:val="22"/>
          <w:szCs w:val="22"/>
          <w:vertAlign w:val="subscript"/>
        </w:rPr>
        <w:t>*</w:t>
      </w:r>
      <w:r w:rsidRPr="00534F3B">
        <w:rPr>
          <w:b/>
          <w:i/>
          <w:sz w:val="22"/>
          <w:szCs w:val="22"/>
        </w:rPr>
        <w:t xml:space="preserve"> 0,04 + </w:t>
      </w:r>
      <w:r w:rsidRPr="00534F3B">
        <w:rPr>
          <w:i/>
          <w:sz w:val="22"/>
          <w:szCs w:val="22"/>
        </w:rPr>
        <w:t>SH</w:t>
      </w:r>
      <w:r w:rsidRPr="00534F3B">
        <w:rPr>
          <w:i/>
          <w:sz w:val="22"/>
          <w:szCs w:val="22"/>
          <w:vertAlign w:val="subscript"/>
        </w:rPr>
        <w:t>N</w:t>
      </w:r>
      <w:r w:rsidRPr="00534F3B">
        <w:rPr>
          <w:i/>
          <w:sz w:val="22"/>
          <w:szCs w:val="22"/>
        </w:rPr>
        <w:t xml:space="preserve">(K) </w:t>
      </w:r>
      <w:r w:rsidRPr="00534F3B">
        <w:rPr>
          <w:b/>
          <w:sz w:val="22"/>
          <w:szCs w:val="22"/>
          <w:vertAlign w:val="subscript"/>
        </w:rPr>
        <w:t>*</w:t>
      </w:r>
      <w:r w:rsidRPr="00534F3B">
        <w:rPr>
          <w:b/>
          <w:i/>
          <w:sz w:val="22"/>
          <w:szCs w:val="22"/>
        </w:rPr>
        <w:t xml:space="preserve"> 0,04</w:t>
      </w:r>
    </w:p>
    <w:p w:rsidR="00AD48E2" w:rsidRPr="00534F3B" w:rsidRDefault="00AD48E2" w:rsidP="00AD48E2">
      <w:pPr>
        <w:spacing w:line="300" w:lineRule="exact"/>
        <w:ind w:firstLine="284"/>
        <w:jc w:val="both"/>
        <w:rPr>
          <w:sz w:val="22"/>
          <w:szCs w:val="22"/>
        </w:rPr>
      </w:pPr>
    </w:p>
    <w:p w:rsidR="00AD48E2" w:rsidRPr="00534F3B" w:rsidRDefault="00AD48E2" w:rsidP="00AD48E2">
      <w:pPr>
        <w:spacing w:line="300" w:lineRule="exact"/>
        <w:ind w:firstLine="284"/>
        <w:jc w:val="both"/>
        <w:rPr>
          <w:sz w:val="22"/>
          <w:szCs w:val="22"/>
        </w:rPr>
      </w:pPr>
      <w:r w:rsidRPr="00534F3B">
        <w:rPr>
          <w:sz w:val="22"/>
          <w:szCs w:val="22"/>
        </w:rPr>
        <w:t>Следва да подчертаем, че настоящият модел определя и прецизира относителната пазарна ли</w:t>
      </w:r>
      <w:r w:rsidRPr="00534F3B">
        <w:rPr>
          <w:sz w:val="22"/>
          <w:szCs w:val="22"/>
        </w:rPr>
        <w:t>к</w:t>
      </w:r>
      <w:r w:rsidRPr="00534F3B">
        <w:rPr>
          <w:sz w:val="22"/>
          <w:szCs w:val="22"/>
        </w:rPr>
        <w:t>видност на дружествата. Той изпълнява поставените тук цели за обективна съпоставимост, но не определя абсолютни стойности на пазарната ликвидност при разглеждане на едно отделно взето дружество. Преценка за последното се поставя на базата на разгледаните индикатори и показатели. След заместване във формулата за комплексната пазарна ликвид</w:t>
      </w:r>
      <w:r w:rsidRPr="00534F3B">
        <w:rPr>
          <w:sz w:val="22"/>
          <w:szCs w:val="22"/>
        </w:rPr>
        <w:softHyphen/>
        <w:t>ност на дружествата получаваме резултатите, представени в Табл. 11.</w:t>
      </w:r>
    </w:p>
    <w:p w:rsidR="00AD48E2" w:rsidRPr="00534F3B" w:rsidRDefault="00AD48E2" w:rsidP="00AD48E2">
      <w:pPr>
        <w:pStyle w:val="FIG"/>
      </w:pPr>
      <w:r w:rsidRPr="00534F3B">
        <w:t>Таблица 11. Поредност на дружествата според Коефициента на комплексната пазарна ликвидност</w:t>
      </w:r>
    </w:p>
    <w:tbl>
      <w:tblPr>
        <w:tblStyle w:val="TableGrid"/>
        <w:tblW w:w="9469" w:type="dxa"/>
        <w:jc w:val="center"/>
        <w:tblLayout w:type="fixed"/>
        <w:tblCellMar>
          <w:left w:w="57" w:type="dxa"/>
          <w:right w:w="57" w:type="dxa"/>
        </w:tblCellMar>
        <w:tblLook w:val="04A0" w:firstRow="1" w:lastRow="0" w:firstColumn="1" w:lastColumn="0" w:noHBand="0" w:noVBand="1"/>
      </w:tblPr>
      <w:tblGrid>
        <w:gridCol w:w="1561"/>
        <w:gridCol w:w="3954"/>
        <w:gridCol w:w="1977"/>
        <w:gridCol w:w="1977"/>
      </w:tblGrid>
      <w:tr w:rsidR="00AD48E2" w:rsidRPr="00534F3B" w:rsidTr="00F76C47">
        <w:trPr>
          <w:trHeight w:val="20"/>
          <w:jc w:val="center"/>
        </w:trPr>
        <w:tc>
          <w:tcPr>
            <w:tcW w:w="1350" w:type="dxa"/>
          </w:tcPr>
          <w:p w:rsidR="00AD48E2" w:rsidRPr="00534F3B" w:rsidRDefault="00AD48E2" w:rsidP="00F76C47">
            <w:pPr>
              <w:spacing w:before="40" w:after="40"/>
              <w:jc w:val="center"/>
              <w:rPr>
                <w:sz w:val="20"/>
                <w:szCs w:val="20"/>
              </w:rPr>
            </w:pPr>
            <w:r w:rsidRPr="00534F3B">
              <w:rPr>
                <w:sz w:val="20"/>
                <w:szCs w:val="20"/>
              </w:rPr>
              <w:t>Кла</w:t>
            </w:r>
            <w:r w:rsidRPr="00534F3B">
              <w:rPr>
                <w:sz w:val="20"/>
                <w:szCs w:val="20"/>
              </w:rPr>
              <w:softHyphen/>
              <w:t>си</w:t>
            </w:r>
            <w:r w:rsidRPr="00534F3B">
              <w:rPr>
                <w:sz w:val="20"/>
                <w:szCs w:val="20"/>
              </w:rPr>
              <w:softHyphen/>
              <w:t>ране</w:t>
            </w:r>
          </w:p>
        </w:tc>
        <w:tc>
          <w:tcPr>
            <w:tcW w:w="3420" w:type="dxa"/>
            <w:hideMark/>
          </w:tcPr>
          <w:p w:rsidR="00AD48E2" w:rsidRPr="00534F3B" w:rsidRDefault="00AD48E2" w:rsidP="00F76C47">
            <w:pPr>
              <w:spacing w:before="40" w:after="40"/>
              <w:jc w:val="center"/>
              <w:rPr>
                <w:sz w:val="20"/>
                <w:szCs w:val="20"/>
              </w:rPr>
            </w:pPr>
            <w:r w:rsidRPr="00534F3B">
              <w:rPr>
                <w:sz w:val="20"/>
                <w:szCs w:val="20"/>
              </w:rPr>
              <w:t>Дружество</w:t>
            </w:r>
          </w:p>
        </w:tc>
        <w:tc>
          <w:tcPr>
            <w:tcW w:w="1710" w:type="dxa"/>
          </w:tcPr>
          <w:p w:rsidR="00AD48E2" w:rsidRPr="00534F3B" w:rsidRDefault="00AD48E2" w:rsidP="00F76C47">
            <w:pPr>
              <w:spacing w:before="40" w:after="40"/>
              <w:jc w:val="center"/>
              <w:rPr>
                <w:b/>
                <w:i/>
                <w:sz w:val="20"/>
                <w:szCs w:val="20"/>
              </w:rPr>
            </w:pPr>
            <w:r w:rsidRPr="00534F3B">
              <w:rPr>
                <w:sz w:val="20"/>
                <w:szCs w:val="20"/>
              </w:rPr>
              <w:t>Борсов индекс</w:t>
            </w:r>
          </w:p>
        </w:tc>
        <w:tc>
          <w:tcPr>
            <w:tcW w:w="1710" w:type="dxa"/>
          </w:tcPr>
          <w:p w:rsidR="00AD48E2" w:rsidRPr="00534F3B" w:rsidRDefault="00AD48E2" w:rsidP="00F76C47">
            <w:pPr>
              <w:spacing w:before="40" w:after="40"/>
              <w:jc w:val="center"/>
              <w:rPr>
                <w:b/>
                <w:i/>
                <w:iCs/>
                <w:sz w:val="20"/>
                <w:szCs w:val="20"/>
              </w:rPr>
            </w:pPr>
            <w:r w:rsidRPr="00534F3B">
              <w:rPr>
                <w:bCs/>
                <w:sz w:val="20"/>
                <w:szCs w:val="20"/>
              </w:rPr>
              <w:t>CML(K)</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1</w:t>
            </w:r>
          </w:p>
        </w:tc>
        <w:tc>
          <w:tcPr>
            <w:tcW w:w="3420" w:type="dxa"/>
            <w:hideMark/>
          </w:tcPr>
          <w:p w:rsidR="00AD48E2" w:rsidRPr="00534F3B" w:rsidRDefault="00AD48E2" w:rsidP="00F76C47">
            <w:pPr>
              <w:spacing w:before="40" w:after="40"/>
              <w:rPr>
                <w:sz w:val="20"/>
                <w:szCs w:val="20"/>
              </w:rPr>
            </w:pPr>
            <w:r w:rsidRPr="00534F3B">
              <w:rPr>
                <w:sz w:val="20"/>
                <w:szCs w:val="20"/>
              </w:rPr>
              <w:t>Софарма</w:t>
            </w:r>
          </w:p>
        </w:tc>
        <w:tc>
          <w:tcPr>
            <w:tcW w:w="1710" w:type="dxa"/>
          </w:tcPr>
          <w:p w:rsidR="00AD48E2" w:rsidRPr="00534F3B" w:rsidRDefault="00AD48E2" w:rsidP="00F76C47">
            <w:pPr>
              <w:spacing w:before="40" w:after="40"/>
              <w:jc w:val="center"/>
              <w:rPr>
                <w:sz w:val="20"/>
                <w:szCs w:val="20"/>
              </w:rPr>
            </w:pPr>
            <w:r w:rsidRPr="00534F3B">
              <w:rPr>
                <w:sz w:val="20"/>
                <w:szCs w:val="20"/>
              </w:rPr>
              <w:t>SOFIX</w:t>
            </w:r>
          </w:p>
        </w:tc>
        <w:tc>
          <w:tcPr>
            <w:tcW w:w="1710" w:type="dxa"/>
          </w:tcPr>
          <w:p w:rsidR="00AD48E2" w:rsidRPr="00534F3B" w:rsidRDefault="00AD48E2" w:rsidP="00F76C47">
            <w:pPr>
              <w:spacing w:before="40" w:after="40"/>
              <w:jc w:val="center"/>
              <w:rPr>
                <w:bCs/>
                <w:sz w:val="20"/>
                <w:szCs w:val="20"/>
              </w:rPr>
            </w:pPr>
            <w:r w:rsidRPr="00534F3B">
              <w:rPr>
                <w:bCs/>
                <w:sz w:val="20"/>
                <w:szCs w:val="20"/>
              </w:rPr>
              <w:t>0,814</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2</w:t>
            </w:r>
          </w:p>
        </w:tc>
        <w:tc>
          <w:tcPr>
            <w:tcW w:w="3420" w:type="dxa"/>
            <w:hideMark/>
          </w:tcPr>
          <w:p w:rsidR="00AD48E2" w:rsidRPr="00534F3B" w:rsidRDefault="00AD48E2" w:rsidP="00F76C47">
            <w:pPr>
              <w:spacing w:before="40" w:after="40"/>
              <w:rPr>
                <w:sz w:val="20"/>
                <w:szCs w:val="20"/>
              </w:rPr>
            </w:pPr>
            <w:r w:rsidRPr="00534F3B">
              <w:rPr>
                <w:sz w:val="20"/>
                <w:szCs w:val="20"/>
              </w:rPr>
              <w:t>Доверие Обединен Холдинг</w:t>
            </w:r>
          </w:p>
        </w:tc>
        <w:tc>
          <w:tcPr>
            <w:tcW w:w="1710" w:type="dxa"/>
          </w:tcPr>
          <w:p w:rsidR="00AD48E2" w:rsidRPr="00534F3B" w:rsidRDefault="00AD48E2" w:rsidP="00F76C47">
            <w:pPr>
              <w:spacing w:before="40" w:after="40"/>
              <w:jc w:val="center"/>
              <w:rPr>
                <w:sz w:val="20"/>
                <w:szCs w:val="20"/>
              </w:rPr>
            </w:pPr>
            <w:r w:rsidRPr="00534F3B">
              <w:rPr>
                <w:sz w:val="20"/>
                <w:szCs w:val="20"/>
              </w:rPr>
              <w:t>SOFIX</w:t>
            </w:r>
          </w:p>
        </w:tc>
        <w:tc>
          <w:tcPr>
            <w:tcW w:w="1710" w:type="dxa"/>
          </w:tcPr>
          <w:p w:rsidR="00AD48E2" w:rsidRPr="00534F3B" w:rsidRDefault="00AD48E2" w:rsidP="00F76C47">
            <w:pPr>
              <w:spacing w:before="40" w:after="40"/>
              <w:jc w:val="center"/>
              <w:rPr>
                <w:bCs/>
                <w:sz w:val="20"/>
                <w:szCs w:val="20"/>
              </w:rPr>
            </w:pPr>
            <w:r w:rsidRPr="00534F3B">
              <w:rPr>
                <w:bCs/>
                <w:sz w:val="20"/>
                <w:szCs w:val="20"/>
              </w:rPr>
              <w:t>0,655</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lastRenderedPageBreak/>
              <w:t>3</w:t>
            </w:r>
          </w:p>
        </w:tc>
        <w:tc>
          <w:tcPr>
            <w:tcW w:w="3420" w:type="dxa"/>
          </w:tcPr>
          <w:p w:rsidR="00AD48E2" w:rsidRPr="00534F3B" w:rsidRDefault="00AD48E2" w:rsidP="00F76C47">
            <w:pPr>
              <w:spacing w:before="40" w:after="40"/>
              <w:rPr>
                <w:sz w:val="20"/>
                <w:szCs w:val="20"/>
              </w:rPr>
            </w:pPr>
            <w:r w:rsidRPr="00534F3B">
              <w:rPr>
                <w:sz w:val="20"/>
                <w:szCs w:val="20"/>
              </w:rPr>
              <w:t>Първа Инвест. Банка</w:t>
            </w:r>
          </w:p>
        </w:tc>
        <w:tc>
          <w:tcPr>
            <w:tcW w:w="1710" w:type="dxa"/>
          </w:tcPr>
          <w:p w:rsidR="00AD48E2" w:rsidRPr="00534F3B" w:rsidRDefault="00AD48E2" w:rsidP="00F76C47">
            <w:pPr>
              <w:spacing w:before="40" w:after="40"/>
              <w:jc w:val="center"/>
              <w:rPr>
                <w:sz w:val="20"/>
                <w:szCs w:val="20"/>
              </w:rPr>
            </w:pPr>
            <w:r w:rsidRPr="00534F3B">
              <w:rPr>
                <w:sz w:val="20"/>
                <w:szCs w:val="20"/>
              </w:rPr>
              <w:t>BGTR30</w:t>
            </w:r>
          </w:p>
        </w:tc>
        <w:tc>
          <w:tcPr>
            <w:tcW w:w="1710" w:type="dxa"/>
          </w:tcPr>
          <w:p w:rsidR="00AD48E2" w:rsidRPr="00534F3B" w:rsidRDefault="00AD48E2" w:rsidP="00F76C47">
            <w:pPr>
              <w:spacing w:before="40" w:after="40"/>
              <w:jc w:val="center"/>
              <w:rPr>
                <w:bCs/>
                <w:sz w:val="20"/>
                <w:szCs w:val="20"/>
              </w:rPr>
            </w:pPr>
            <w:r w:rsidRPr="00534F3B">
              <w:rPr>
                <w:bCs/>
                <w:sz w:val="20"/>
                <w:szCs w:val="20"/>
              </w:rPr>
              <w:t>0,590</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4</w:t>
            </w:r>
          </w:p>
        </w:tc>
        <w:tc>
          <w:tcPr>
            <w:tcW w:w="3420" w:type="dxa"/>
          </w:tcPr>
          <w:p w:rsidR="00AD48E2" w:rsidRPr="00534F3B" w:rsidRDefault="00AD48E2" w:rsidP="00F76C47">
            <w:pPr>
              <w:spacing w:before="40" w:after="40"/>
              <w:rPr>
                <w:sz w:val="20"/>
                <w:szCs w:val="20"/>
              </w:rPr>
            </w:pPr>
            <w:r w:rsidRPr="00534F3B">
              <w:rPr>
                <w:sz w:val="20"/>
                <w:szCs w:val="20"/>
              </w:rPr>
              <w:t>Елана Агрокредит</w:t>
            </w:r>
          </w:p>
        </w:tc>
        <w:tc>
          <w:tcPr>
            <w:tcW w:w="1710" w:type="dxa"/>
          </w:tcPr>
          <w:p w:rsidR="00AD48E2" w:rsidRPr="00534F3B" w:rsidRDefault="00AD48E2" w:rsidP="00F76C47">
            <w:pPr>
              <w:spacing w:before="40" w:after="40"/>
              <w:jc w:val="center"/>
              <w:rPr>
                <w:sz w:val="20"/>
                <w:szCs w:val="20"/>
              </w:rPr>
            </w:pPr>
            <w:r w:rsidRPr="00534F3B">
              <w:rPr>
                <w:sz w:val="20"/>
                <w:szCs w:val="20"/>
              </w:rPr>
              <w:t>BGTR30</w:t>
            </w:r>
          </w:p>
        </w:tc>
        <w:tc>
          <w:tcPr>
            <w:tcW w:w="1710" w:type="dxa"/>
          </w:tcPr>
          <w:p w:rsidR="00AD48E2" w:rsidRPr="00534F3B" w:rsidRDefault="00AD48E2" w:rsidP="00F76C47">
            <w:pPr>
              <w:spacing w:before="40" w:after="40"/>
              <w:jc w:val="center"/>
              <w:rPr>
                <w:bCs/>
                <w:sz w:val="20"/>
                <w:szCs w:val="20"/>
              </w:rPr>
            </w:pPr>
            <w:r w:rsidRPr="00534F3B">
              <w:rPr>
                <w:bCs/>
                <w:sz w:val="20"/>
                <w:szCs w:val="20"/>
              </w:rPr>
              <w:t>0,297</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5</w:t>
            </w:r>
          </w:p>
        </w:tc>
        <w:tc>
          <w:tcPr>
            <w:tcW w:w="3420" w:type="dxa"/>
          </w:tcPr>
          <w:p w:rsidR="00AD48E2" w:rsidRPr="00534F3B" w:rsidRDefault="00AD48E2" w:rsidP="00F76C47">
            <w:pPr>
              <w:spacing w:before="40" w:after="40"/>
              <w:rPr>
                <w:sz w:val="20"/>
                <w:szCs w:val="20"/>
              </w:rPr>
            </w:pPr>
            <w:r w:rsidRPr="00534F3B">
              <w:rPr>
                <w:sz w:val="20"/>
                <w:szCs w:val="20"/>
              </w:rPr>
              <w:t>Булленд Инвестмънтс</w:t>
            </w:r>
          </w:p>
        </w:tc>
        <w:tc>
          <w:tcPr>
            <w:tcW w:w="1710" w:type="dxa"/>
          </w:tcPr>
          <w:p w:rsidR="00AD48E2" w:rsidRPr="00534F3B" w:rsidRDefault="00AD48E2" w:rsidP="00F76C47">
            <w:pPr>
              <w:spacing w:before="40" w:after="40"/>
              <w:jc w:val="center"/>
              <w:rPr>
                <w:sz w:val="20"/>
                <w:szCs w:val="20"/>
              </w:rPr>
            </w:pPr>
            <w:r w:rsidRPr="00534F3B">
              <w:rPr>
                <w:sz w:val="20"/>
                <w:szCs w:val="20"/>
              </w:rPr>
              <w:t>BGRATE</w:t>
            </w:r>
          </w:p>
        </w:tc>
        <w:tc>
          <w:tcPr>
            <w:tcW w:w="1710" w:type="dxa"/>
          </w:tcPr>
          <w:p w:rsidR="00AD48E2" w:rsidRPr="00534F3B" w:rsidRDefault="00AD48E2" w:rsidP="00F76C47">
            <w:pPr>
              <w:spacing w:before="40" w:after="40"/>
              <w:jc w:val="center"/>
              <w:rPr>
                <w:bCs/>
                <w:sz w:val="20"/>
                <w:szCs w:val="20"/>
              </w:rPr>
            </w:pPr>
            <w:r w:rsidRPr="00534F3B">
              <w:rPr>
                <w:bCs/>
                <w:sz w:val="20"/>
                <w:szCs w:val="20"/>
              </w:rPr>
              <w:t>0,227</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6</w:t>
            </w:r>
          </w:p>
        </w:tc>
        <w:tc>
          <w:tcPr>
            <w:tcW w:w="3420" w:type="dxa"/>
            <w:hideMark/>
          </w:tcPr>
          <w:p w:rsidR="00AD48E2" w:rsidRPr="00534F3B" w:rsidRDefault="00AD48E2" w:rsidP="00F76C47">
            <w:pPr>
              <w:spacing w:before="40" w:after="40"/>
              <w:rPr>
                <w:sz w:val="20"/>
                <w:szCs w:val="20"/>
              </w:rPr>
            </w:pPr>
            <w:r w:rsidRPr="00534F3B">
              <w:rPr>
                <w:sz w:val="20"/>
                <w:szCs w:val="20"/>
              </w:rPr>
              <w:t>Спарки Елтос</w:t>
            </w:r>
          </w:p>
        </w:tc>
        <w:tc>
          <w:tcPr>
            <w:tcW w:w="1710" w:type="dxa"/>
          </w:tcPr>
          <w:p w:rsidR="00AD48E2" w:rsidRPr="00534F3B" w:rsidRDefault="00AD48E2" w:rsidP="00F76C47">
            <w:pPr>
              <w:spacing w:before="40" w:after="40"/>
              <w:jc w:val="center"/>
              <w:rPr>
                <w:sz w:val="20"/>
                <w:szCs w:val="20"/>
              </w:rPr>
            </w:pPr>
            <w:r w:rsidRPr="00534F3B">
              <w:rPr>
                <w:sz w:val="20"/>
                <w:szCs w:val="20"/>
              </w:rPr>
              <w:t>BGBX40</w:t>
            </w:r>
          </w:p>
        </w:tc>
        <w:tc>
          <w:tcPr>
            <w:tcW w:w="1710" w:type="dxa"/>
          </w:tcPr>
          <w:p w:rsidR="00AD48E2" w:rsidRPr="00534F3B" w:rsidRDefault="00AD48E2" w:rsidP="00F76C47">
            <w:pPr>
              <w:spacing w:before="40" w:after="40"/>
              <w:jc w:val="center"/>
              <w:rPr>
                <w:bCs/>
                <w:sz w:val="20"/>
                <w:szCs w:val="20"/>
              </w:rPr>
            </w:pPr>
            <w:r w:rsidRPr="00534F3B">
              <w:rPr>
                <w:bCs/>
                <w:sz w:val="20"/>
                <w:szCs w:val="20"/>
              </w:rPr>
              <w:t>0,148</w:t>
            </w:r>
          </w:p>
        </w:tc>
      </w:tr>
      <w:tr w:rsidR="00AD48E2" w:rsidRPr="00534F3B" w:rsidTr="00F76C47">
        <w:trPr>
          <w:trHeight w:val="20"/>
          <w:jc w:val="center"/>
        </w:trPr>
        <w:tc>
          <w:tcPr>
            <w:tcW w:w="1350" w:type="dxa"/>
          </w:tcPr>
          <w:p w:rsidR="00AD48E2" w:rsidRPr="00534F3B" w:rsidRDefault="00AD48E2" w:rsidP="00F76C47">
            <w:pPr>
              <w:pStyle w:val="ListParagraph"/>
              <w:spacing w:before="40" w:after="40"/>
              <w:ind w:left="0"/>
              <w:jc w:val="center"/>
              <w:rPr>
                <w:sz w:val="20"/>
                <w:szCs w:val="20"/>
                <w:lang w:val="bg-BG" w:eastAsia="bg-BG"/>
              </w:rPr>
            </w:pPr>
            <w:r w:rsidRPr="00534F3B">
              <w:rPr>
                <w:sz w:val="20"/>
                <w:szCs w:val="20"/>
                <w:lang w:val="bg-BG" w:eastAsia="bg-BG"/>
              </w:rPr>
              <w:t>7</w:t>
            </w:r>
          </w:p>
        </w:tc>
        <w:tc>
          <w:tcPr>
            <w:tcW w:w="3420" w:type="dxa"/>
          </w:tcPr>
          <w:p w:rsidR="00AD48E2" w:rsidRPr="00534F3B" w:rsidRDefault="00AD48E2" w:rsidP="00F76C47">
            <w:pPr>
              <w:spacing w:before="40" w:after="40"/>
              <w:rPr>
                <w:sz w:val="20"/>
                <w:szCs w:val="20"/>
              </w:rPr>
            </w:pPr>
            <w:r w:rsidRPr="00534F3B">
              <w:rPr>
                <w:sz w:val="20"/>
                <w:szCs w:val="20"/>
              </w:rPr>
              <w:t>Болкан енд Сий Пропъртис</w:t>
            </w:r>
          </w:p>
        </w:tc>
        <w:tc>
          <w:tcPr>
            <w:tcW w:w="1710" w:type="dxa"/>
          </w:tcPr>
          <w:p w:rsidR="00AD48E2" w:rsidRPr="00534F3B" w:rsidRDefault="00AD48E2" w:rsidP="00F76C47">
            <w:pPr>
              <w:spacing w:before="40" w:after="40"/>
              <w:jc w:val="center"/>
              <w:rPr>
                <w:sz w:val="20"/>
                <w:szCs w:val="20"/>
              </w:rPr>
            </w:pPr>
            <w:r w:rsidRPr="00534F3B">
              <w:rPr>
                <w:sz w:val="20"/>
                <w:szCs w:val="20"/>
              </w:rPr>
              <w:t>BGRATE</w:t>
            </w:r>
          </w:p>
        </w:tc>
        <w:tc>
          <w:tcPr>
            <w:tcW w:w="1710" w:type="dxa"/>
          </w:tcPr>
          <w:p w:rsidR="00AD48E2" w:rsidRPr="00534F3B" w:rsidRDefault="00AD48E2" w:rsidP="00F76C47">
            <w:pPr>
              <w:spacing w:before="40" w:after="40"/>
              <w:jc w:val="center"/>
              <w:rPr>
                <w:bCs/>
                <w:sz w:val="20"/>
                <w:szCs w:val="20"/>
              </w:rPr>
            </w:pPr>
            <w:r w:rsidRPr="00534F3B">
              <w:rPr>
                <w:bCs/>
                <w:sz w:val="20"/>
                <w:szCs w:val="20"/>
              </w:rPr>
              <w:t>0,103</w:t>
            </w:r>
          </w:p>
        </w:tc>
      </w:tr>
    </w:tbl>
    <w:p w:rsidR="00AD48E2" w:rsidRPr="00534F3B" w:rsidRDefault="00AD48E2" w:rsidP="00AD48E2">
      <w:pPr>
        <w:spacing w:line="300" w:lineRule="exact"/>
        <w:ind w:firstLine="284"/>
        <w:jc w:val="both"/>
        <w:rPr>
          <w:sz w:val="22"/>
          <w:szCs w:val="22"/>
        </w:rPr>
      </w:pPr>
      <w:r w:rsidRPr="00534F3B">
        <w:rPr>
          <w:i/>
          <w:sz w:val="22"/>
          <w:szCs w:val="22"/>
        </w:rPr>
        <w:t>Софарма</w:t>
      </w:r>
      <w:r w:rsidRPr="00534F3B">
        <w:rPr>
          <w:sz w:val="22"/>
          <w:szCs w:val="22"/>
        </w:rPr>
        <w:t xml:space="preserve"> се отличава с най-добри стойности по пет от деветте показателя на формулата за ко</w:t>
      </w:r>
      <w:r w:rsidRPr="00534F3B">
        <w:rPr>
          <w:sz w:val="22"/>
          <w:szCs w:val="22"/>
        </w:rPr>
        <w:t>м</w:t>
      </w:r>
      <w:r w:rsidRPr="00534F3B">
        <w:rPr>
          <w:sz w:val="22"/>
          <w:szCs w:val="22"/>
        </w:rPr>
        <w:t xml:space="preserve">плексна пазарна ликвидност и коефициент 0,814. На второ място се подрежда </w:t>
      </w:r>
      <w:r w:rsidRPr="00534F3B">
        <w:rPr>
          <w:i/>
          <w:sz w:val="22"/>
          <w:szCs w:val="22"/>
        </w:rPr>
        <w:t>Доверие Обединен Холдинг</w:t>
      </w:r>
      <w:r w:rsidRPr="00534F3B">
        <w:rPr>
          <w:sz w:val="22"/>
          <w:szCs w:val="22"/>
        </w:rPr>
        <w:t>, с коефициент на комплексната пазарна ликвидност 0,655 и лидерство в два от индикат</w:t>
      </w:r>
      <w:r w:rsidRPr="00534F3B">
        <w:rPr>
          <w:sz w:val="22"/>
          <w:szCs w:val="22"/>
        </w:rPr>
        <w:t>о</w:t>
      </w:r>
      <w:r w:rsidRPr="00534F3B">
        <w:rPr>
          <w:sz w:val="22"/>
          <w:szCs w:val="22"/>
        </w:rPr>
        <w:t>рите – брой акционери и коефициент на търгувания обем. На трето място с коефициент на ком</w:t>
      </w:r>
      <w:r w:rsidRPr="00534F3B">
        <w:rPr>
          <w:sz w:val="22"/>
          <w:szCs w:val="22"/>
        </w:rPr>
        <w:t>п</w:t>
      </w:r>
      <w:r w:rsidRPr="00534F3B">
        <w:rPr>
          <w:sz w:val="22"/>
          <w:szCs w:val="22"/>
        </w:rPr>
        <w:t xml:space="preserve">лексната пазарна ликвидност 0,590 е </w:t>
      </w:r>
      <w:r w:rsidRPr="00534F3B">
        <w:rPr>
          <w:i/>
          <w:sz w:val="22"/>
          <w:szCs w:val="22"/>
        </w:rPr>
        <w:t>Първа Инвести</w:t>
      </w:r>
      <w:r w:rsidRPr="00534F3B">
        <w:rPr>
          <w:i/>
          <w:sz w:val="22"/>
          <w:szCs w:val="22"/>
        </w:rPr>
        <w:softHyphen/>
      </w:r>
      <w:r w:rsidRPr="00534F3B">
        <w:rPr>
          <w:i/>
          <w:sz w:val="22"/>
          <w:szCs w:val="22"/>
        </w:rPr>
        <w:softHyphen/>
        <w:t>ци</w:t>
      </w:r>
      <w:r w:rsidRPr="00534F3B">
        <w:rPr>
          <w:i/>
          <w:sz w:val="22"/>
          <w:szCs w:val="22"/>
        </w:rPr>
        <w:softHyphen/>
        <w:t>онна Банка</w:t>
      </w:r>
      <w:r w:rsidRPr="00534F3B">
        <w:rPr>
          <w:sz w:val="22"/>
          <w:szCs w:val="22"/>
        </w:rPr>
        <w:t>, която има първенство в показ</w:t>
      </w:r>
      <w:r w:rsidRPr="00534F3B">
        <w:rPr>
          <w:sz w:val="22"/>
          <w:szCs w:val="22"/>
        </w:rPr>
        <w:t>а</w:t>
      </w:r>
      <w:r w:rsidRPr="00534F3B">
        <w:rPr>
          <w:sz w:val="22"/>
          <w:szCs w:val="22"/>
        </w:rPr>
        <w:t xml:space="preserve">теля относително тегло на пазарната капитализация. </w:t>
      </w:r>
      <w:r w:rsidRPr="00534F3B">
        <w:rPr>
          <w:i/>
          <w:sz w:val="22"/>
          <w:szCs w:val="22"/>
        </w:rPr>
        <w:t>Елана Агрокредит</w:t>
      </w:r>
      <w:r w:rsidRPr="00534F3B">
        <w:rPr>
          <w:sz w:val="22"/>
          <w:szCs w:val="22"/>
        </w:rPr>
        <w:t xml:space="preserve"> заема четвъртото място в комплексната пазарна ликвидност с коефициент 0,297. </w:t>
      </w:r>
      <w:r w:rsidRPr="00534F3B">
        <w:rPr>
          <w:i/>
          <w:sz w:val="22"/>
          <w:szCs w:val="22"/>
        </w:rPr>
        <w:t>Булленд Инвестмънтс</w:t>
      </w:r>
      <w:r w:rsidRPr="00534F3B">
        <w:rPr>
          <w:sz w:val="22"/>
          <w:szCs w:val="22"/>
        </w:rPr>
        <w:t xml:space="preserve"> е на пето място от седемте изследвани дружества с коефициент на комплексната пазарна ликвидност 0,227. </w:t>
      </w:r>
      <w:r w:rsidRPr="00534F3B">
        <w:rPr>
          <w:i/>
          <w:sz w:val="22"/>
          <w:szCs w:val="22"/>
        </w:rPr>
        <w:t>Спарки Елтос</w:t>
      </w:r>
      <w:r w:rsidRPr="00534F3B">
        <w:rPr>
          <w:sz w:val="22"/>
          <w:szCs w:val="22"/>
        </w:rPr>
        <w:t xml:space="preserve"> е на шесто – предпоследно място с коефициент на комплексната пазарна ликвидност 0,148. На последно място от седемте изследвани дружества с коефициент на комплексната пазарна ли</w:t>
      </w:r>
      <w:r w:rsidRPr="00534F3B">
        <w:rPr>
          <w:sz w:val="22"/>
          <w:szCs w:val="22"/>
        </w:rPr>
        <w:t>к</w:t>
      </w:r>
      <w:r w:rsidRPr="00534F3B">
        <w:rPr>
          <w:sz w:val="22"/>
          <w:szCs w:val="22"/>
        </w:rPr>
        <w:t xml:space="preserve">видност 0,103 е </w:t>
      </w:r>
      <w:r w:rsidRPr="00534F3B">
        <w:rPr>
          <w:i/>
          <w:sz w:val="22"/>
          <w:szCs w:val="22"/>
        </w:rPr>
        <w:t>Болкан енд Сий Пропъртис</w:t>
      </w:r>
      <w:r w:rsidRPr="00534F3B">
        <w:rPr>
          <w:sz w:val="22"/>
          <w:szCs w:val="22"/>
        </w:rPr>
        <w:t>.</w:t>
      </w:r>
    </w:p>
    <w:p w:rsidR="00AD48E2" w:rsidRPr="00534F3B" w:rsidRDefault="00AD48E2" w:rsidP="00AD48E2">
      <w:pPr>
        <w:spacing w:line="300" w:lineRule="exact"/>
        <w:ind w:firstLine="284"/>
        <w:jc w:val="both"/>
        <w:rPr>
          <w:sz w:val="22"/>
          <w:szCs w:val="22"/>
        </w:rPr>
      </w:pPr>
      <w:r w:rsidRPr="00534F3B">
        <w:rPr>
          <w:sz w:val="22"/>
          <w:szCs w:val="22"/>
        </w:rPr>
        <w:t>Класирането на дружествата според комплексната им пазарна ликвидност позволява аналогичен извод и за съответните борсови индекси, в които те участват, в следната поредност: SOFIX; BGTR30; BGBX40 и BGRATE. Макар и с извадка от само две дружества (тези с най-голямата и с най-малката борсова стойност) се потвърждава очакването за SOFIX като индекс с най-ликвидните дружества. BGTR30 заема убедително второ място според пазарната ликвидност на дружествата. Широкият BGBX40 показва разбираемо разсейване и в този инвести</w:t>
      </w:r>
      <w:r w:rsidRPr="00534F3B">
        <w:rPr>
          <w:sz w:val="22"/>
          <w:szCs w:val="22"/>
        </w:rPr>
        <w:softHyphen/>
        <w:t>ционен параметър. Секторният BGRATE остава на четвърто място по пазарна ликвидност на акциите (дружествата). Причините за така установения инвестиционен интерес (и съответно ликвидност) в секторния индекс могат да се търсят в малкия брой дружества, тяхната специализация и др. Последните разглеждаме не толкова като обективни фактори, а по-скоро като израз на инвеститорския интерес.</w:t>
      </w:r>
    </w:p>
    <w:p w:rsidR="00AD48E2" w:rsidRPr="00534F3B" w:rsidRDefault="00AD48E2" w:rsidP="00AD48E2">
      <w:pPr>
        <w:spacing w:line="300" w:lineRule="exact"/>
        <w:ind w:firstLine="284"/>
        <w:jc w:val="both"/>
        <w:rPr>
          <w:sz w:val="22"/>
          <w:szCs w:val="22"/>
        </w:rPr>
      </w:pPr>
      <w:r w:rsidRPr="00534F3B">
        <w:rPr>
          <w:sz w:val="22"/>
          <w:szCs w:val="22"/>
        </w:rPr>
        <w:t xml:space="preserve">На основата на цялостния анализ в този пункт можем да поставим следните </w:t>
      </w:r>
      <w:r w:rsidRPr="00534F3B">
        <w:rPr>
          <w:b/>
          <w:sz w:val="22"/>
          <w:szCs w:val="22"/>
        </w:rPr>
        <w:t>обобщени оценки за пазарната ликвидност на изследваните дружества</w:t>
      </w:r>
      <w:r w:rsidRPr="00534F3B">
        <w:rPr>
          <w:sz w:val="22"/>
          <w:szCs w:val="22"/>
        </w:rPr>
        <w:t xml:space="preserve">: </w:t>
      </w:r>
      <w:r w:rsidRPr="00534F3B">
        <w:rPr>
          <w:i/>
          <w:sz w:val="22"/>
          <w:szCs w:val="22"/>
        </w:rPr>
        <w:t>Софарма</w:t>
      </w:r>
      <w:r w:rsidRPr="00534F3B">
        <w:rPr>
          <w:sz w:val="22"/>
          <w:szCs w:val="22"/>
        </w:rPr>
        <w:t xml:space="preserve"> – много добра; </w:t>
      </w:r>
      <w:r w:rsidRPr="00534F3B">
        <w:rPr>
          <w:i/>
          <w:sz w:val="22"/>
          <w:szCs w:val="22"/>
        </w:rPr>
        <w:t>Доверие Обед</w:t>
      </w:r>
      <w:r w:rsidRPr="00534F3B">
        <w:rPr>
          <w:i/>
          <w:sz w:val="22"/>
          <w:szCs w:val="22"/>
        </w:rPr>
        <w:t>и</w:t>
      </w:r>
      <w:r w:rsidRPr="00534F3B">
        <w:rPr>
          <w:i/>
          <w:sz w:val="22"/>
          <w:szCs w:val="22"/>
        </w:rPr>
        <w:t xml:space="preserve">нен Холдинг </w:t>
      </w:r>
      <w:r w:rsidRPr="00534F3B">
        <w:rPr>
          <w:sz w:val="22"/>
          <w:szCs w:val="22"/>
        </w:rPr>
        <w:t xml:space="preserve">и </w:t>
      </w:r>
      <w:r w:rsidRPr="00534F3B">
        <w:rPr>
          <w:i/>
          <w:sz w:val="22"/>
          <w:szCs w:val="22"/>
        </w:rPr>
        <w:t>Първа Инвести</w:t>
      </w:r>
      <w:r w:rsidRPr="00534F3B">
        <w:rPr>
          <w:i/>
          <w:sz w:val="22"/>
          <w:szCs w:val="22"/>
        </w:rPr>
        <w:softHyphen/>
      </w:r>
      <w:r w:rsidRPr="00534F3B">
        <w:rPr>
          <w:i/>
          <w:sz w:val="22"/>
          <w:szCs w:val="22"/>
        </w:rPr>
        <w:softHyphen/>
        <w:t>ци</w:t>
      </w:r>
      <w:r w:rsidRPr="00534F3B">
        <w:rPr>
          <w:i/>
          <w:sz w:val="22"/>
          <w:szCs w:val="22"/>
        </w:rPr>
        <w:softHyphen/>
        <w:t xml:space="preserve">онна Банка </w:t>
      </w:r>
      <w:r w:rsidRPr="00534F3B">
        <w:rPr>
          <w:sz w:val="22"/>
          <w:szCs w:val="22"/>
        </w:rPr>
        <w:t xml:space="preserve">– добра; </w:t>
      </w:r>
      <w:r w:rsidRPr="00534F3B">
        <w:rPr>
          <w:i/>
          <w:sz w:val="22"/>
          <w:szCs w:val="22"/>
        </w:rPr>
        <w:t>Елана Агрокредит</w:t>
      </w:r>
      <w:r w:rsidRPr="00534F3B">
        <w:rPr>
          <w:sz w:val="22"/>
          <w:szCs w:val="22"/>
        </w:rPr>
        <w:t xml:space="preserve"> и </w:t>
      </w:r>
      <w:r w:rsidRPr="00534F3B">
        <w:rPr>
          <w:i/>
          <w:sz w:val="22"/>
          <w:szCs w:val="22"/>
        </w:rPr>
        <w:t xml:space="preserve">Булленд Инвестмънтс – </w:t>
      </w:r>
      <w:r w:rsidRPr="00534F3B">
        <w:rPr>
          <w:sz w:val="22"/>
          <w:szCs w:val="22"/>
        </w:rPr>
        <w:t xml:space="preserve">слаба; </w:t>
      </w:r>
      <w:r w:rsidRPr="00534F3B">
        <w:rPr>
          <w:i/>
          <w:sz w:val="22"/>
          <w:szCs w:val="22"/>
        </w:rPr>
        <w:t>Спарки Елтос</w:t>
      </w:r>
      <w:r w:rsidRPr="00534F3B">
        <w:rPr>
          <w:sz w:val="22"/>
          <w:szCs w:val="22"/>
        </w:rPr>
        <w:t xml:space="preserve"> и </w:t>
      </w:r>
      <w:r w:rsidRPr="00534F3B">
        <w:rPr>
          <w:i/>
          <w:sz w:val="22"/>
          <w:szCs w:val="22"/>
        </w:rPr>
        <w:t xml:space="preserve">Болкан енд Сий Пропъртис – </w:t>
      </w:r>
      <w:r w:rsidRPr="00534F3B">
        <w:rPr>
          <w:sz w:val="22"/>
          <w:szCs w:val="22"/>
        </w:rPr>
        <w:t>незадоволителна.</w:t>
      </w:r>
    </w:p>
    <w:p w:rsidR="00AD48E2" w:rsidRPr="00534F3B" w:rsidRDefault="00AD48E2" w:rsidP="00AD48E2">
      <w:pPr>
        <w:spacing w:line="300" w:lineRule="exact"/>
        <w:ind w:firstLine="284"/>
        <w:jc w:val="both"/>
        <w:rPr>
          <w:sz w:val="22"/>
          <w:szCs w:val="22"/>
        </w:rPr>
      </w:pPr>
      <w:r w:rsidRPr="00534F3B">
        <w:rPr>
          <w:sz w:val="22"/>
          <w:szCs w:val="22"/>
        </w:rPr>
        <w:t>Към установеното състояние на пазарната ликвидност на дружествата следва да отбележим и някои системни фактори. Такъв характер имат практическата липса на маркет-мейкъри (ММ) на българския капиталов пазар, въпреки благоприятните нормативни регулации за тяхната дейност, включително и възможността ИП да оперират като ММ само за отделно дружество. Друго факт</w:t>
      </w:r>
      <w:r w:rsidRPr="00534F3B">
        <w:rPr>
          <w:sz w:val="22"/>
          <w:szCs w:val="22"/>
        </w:rPr>
        <w:t>и</w:t>
      </w:r>
      <w:r w:rsidRPr="00534F3B">
        <w:rPr>
          <w:sz w:val="22"/>
          <w:szCs w:val="22"/>
        </w:rPr>
        <w:t>ческо обстоятелство с допълващо ниската ликвидност е липсата на функциониращ дериватен пазар или поне срочен сегмент. Практическата им липса затваря кръга на инвестиционните параметри, при което високият риск и ниската пазарна ликвидност се допълват и индуцират взаимно.</w:t>
      </w:r>
    </w:p>
    <w:p w:rsidR="00AD48E2" w:rsidRPr="00534F3B" w:rsidRDefault="00AD48E2" w:rsidP="00AD48E2">
      <w:pPr>
        <w:spacing w:line="300" w:lineRule="exact"/>
        <w:ind w:firstLine="284"/>
        <w:jc w:val="both"/>
        <w:rPr>
          <w:b/>
          <w:sz w:val="22"/>
          <w:szCs w:val="22"/>
        </w:rPr>
      </w:pPr>
    </w:p>
    <w:p w:rsidR="00AD48E2" w:rsidRPr="00534F3B" w:rsidRDefault="00AD48E2" w:rsidP="00AD48E2">
      <w:pPr>
        <w:pStyle w:val="Heading3"/>
      </w:pPr>
      <w:r w:rsidRPr="00534F3B">
        <w:t>Заключение</w:t>
      </w:r>
    </w:p>
    <w:p w:rsidR="00AD48E2" w:rsidRPr="00534F3B" w:rsidRDefault="00AD48E2" w:rsidP="00AD48E2">
      <w:pPr>
        <w:spacing w:line="300" w:lineRule="exact"/>
        <w:ind w:firstLine="284"/>
        <w:jc w:val="both"/>
        <w:rPr>
          <w:sz w:val="22"/>
          <w:szCs w:val="22"/>
        </w:rPr>
      </w:pPr>
      <w:r w:rsidRPr="00534F3B">
        <w:rPr>
          <w:sz w:val="22"/>
          <w:szCs w:val="22"/>
        </w:rPr>
        <w:t>Пазарната ликвидност е често пренебрегван инвестиционен параметър в научните и практиче</w:t>
      </w:r>
      <w:r w:rsidRPr="00534F3B">
        <w:rPr>
          <w:sz w:val="22"/>
          <w:szCs w:val="22"/>
        </w:rPr>
        <w:t>с</w:t>
      </w:r>
      <w:r w:rsidRPr="00534F3B">
        <w:rPr>
          <w:sz w:val="22"/>
          <w:szCs w:val="22"/>
        </w:rPr>
        <w:t>ки изследвания. Същевременно тя остава съществен проблем за повечето дружества от новофо</w:t>
      </w:r>
      <w:r w:rsidRPr="00534F3B">
        <w:rPr>
          <w:sz w:val="22"/>
          <w:szCs w:val="22"/>
        </w:rPr>
        <w:t>р</w:t>
      </w:r>
      <w:r w:rsidRPr="00534F3B">
        <w:rPr>
          <w:sz w:val="22"/>
          <w:szCs w:val="22"/>
        </w:rPr>
        <w:t>миращите се капиталови пазари и като цяло за фондовите борси от новата периферия на ЕС. Нам</w:t>
      </w:r>
      <w:r w:rsidRPr="00534F3B">
        <w:rPr>
          <w:sz w:val="22"/>
          <w:szCs w:val="22"/>
        </w:rPr>
        <w:t>и</w:t>
      </w:r>
      <w:r w:rsidRPr="00534F3B">
        <w:rPr>
          <w:sz w:val="22"/>
          <w:szCs w:val="22"/>
        </w:rPr>
        <w:t>раме, че общото състояние на пазарната ликвидност на дружествата може да се прилага като пок</w:t>
      </w:r>
      <w:r w:rsidRPr="00534F3B">
        <w:rPr>
          <w:sz w:val="22"/>
          <w:szCs w:val="22"/>
        </w:rPr>
        <w:t>а</w:t>
      </w:r>
      <w:r w:rsidRPr="00534F3B">
        <w:rPr>
          <w:sz w:val="22"/>
          <w:szCs w:val="22"/>
        </w:rPr>
        <w:t xml:space="preserve">зател за степента на развитие на капиталовите пазари. Можем да </w:t>
      </w:r>
      <w:r w:rsidRPr="00534F3B">
        <w:rPr>
          <w:sz w:val="22"/>
          <w:szCs w:val="22"/>
        </w:rPr>
        <w:lastRenderedPageBreak/>
        <w:t>заключим, че пазарната ликви</w:t>
      </w:r>
      <w:r w:rsidRPr="00534F3B">
        <w:rPr>
          <w:sz w:val="22"/>
          <w:szCs w:val="22"/>
        </w:rPr>
        <w:t>д</w:t>
      </w:r>
      <w:r w:rsidRPr="00534F3B">
        <w:rPr>
          <w:sz w:val="22"/>
          <w:szCs w:val="22"/>
        </w:rPr>
        <w:t>ност на микрониво се явява съществен фактор и измерител за риска на борсовите дружества и въ</w:t>
      </w:r>
      <w:r w:rsidRPr="00534F3B">
        <w:rPr>
          <w:sz w:val="22"/>
          <w:szCs w:val="22"/>
        </w:rPr>
        <w:t>з</w:t>
      </w:r>
      <w:r w:rsidRPr="00534F3B">
        <w:rPr>
          <w:sz w:val="22"/>
          <w:szCs w:val="22"/>
        </w:rPr>
        <w:t xml:space="preserve">лов компонент в инвестиционния анализ. </w:t>
      </w:r>
    </w:p>
    <w:p w:rsidR="00AD48E2" w:rsidRPr="00534F3B" w:rsidRDefault="00AD48E2" w:rsidP="00AD48E2">
      <w:pPr>
        <w:spacing w:line="300" w:lineRule="exact"/>
        <w:ind w:firstLine="284"/>
        <w:jc w:val="both"/>
        <w:rPr>
          <w:sz w:val="22"/>
          <w:szCs w:val="22"/>
        </w:rPr>
      </w:pPr>
      <w:r w:rsidRPr="00534F3B">
        <w:rPr>
          <w:sz w:val="22"/>
          <w:szCs w:val="22"/>
        </w:rPr>
        <w:t>Към показа</w:t>
      </w:r>
      <w:r w:rsidRPr="00534F3B">
        <w:rPr>
          <w:sz w:val="22"/>
          <w:szCs w:val="22"/>
        </w:rPr>
        <w:softHyphen/>
        <w:t>телите за пазарна ликвидност на дружествата добавяме и извеждаме като по-съществени следните измерители: Коефициент на търговските дни; Коефициент на търгувания обем; Коефициент на търгувания обем от фрий-флоута и др. Предложеният тук модел за комплек</w:t>
      </w:r>
      <w:r w:rsidRPr="00534F3B">
        <w:rPr>
          <w:sz w:val="22"/>
          <w:szCs w:val="22"/>
        </w:rPr>
        <w:t>с</w:t>
      </w:r>
      <w:r w:rsidRPr="00534F3B">
        <w:rPr>
          <w:sz w:val="22"/>
          <w:szCs w:val="22"/>
        </w:rPr>
        <w:t>но оценяване на пазарната ликвидност на дружествата предоставя обективна възможност за съпо</w:t>
      </w:r>
      <w:r w:rsidRPr="00534F3B">
        <w:rPr>
          <w:sz w:val="22"/>
          <w:szCs w:val="22"/>
        </w:rPr>
        <w:t>с</w:t>
      </w:r>
      <w:r w:rsidRPr="00534F3B">
        <w:rPr>
          <w:sz w:val="22"/>
          <w:szCs w:val="22"/>
        </w:rPr>
        <w:t xml:space="preserve">тавка между голям брой дружества, включително и такива, търгувани на различни фонови борси. </w:t>
      </w:r>
    </w:p>
    <w:p w:rsidR="00AD48E2" w:rsidRPr="00534F3B" w:rsidRDefault="00AD48E2" w:rsidP="00AD48E2">
      <w:pPr>
        <w:spacing w:line="300" w:lineRule="exact"/>
        <w:ind w:firstLine="284"/>
        <w:jc w:val="both"/>
        <w:rPr>
          <w:sz w:val="22"/>
          <w:szCs w:val="22"/>
        </w:rPr>
      </w:pPr>
      <w:r w:rsidRPr="00534F3B">
        <w:rPr>
          <w:sz w:val="22"/>
          <w:szCs w:val="22"/>
        </w:rPr>
        <w:t>Установяваме недобра пазарна ликвидност за повечето дружества от основния пазар на БФБ. Потвърждава се разбирането, че не класическото съотношение доходност риск, а пазарната ли</w:t>
      </w:r>
      <w:r w:rsidRPr="00534F3B">
        <w:rPr>
          <w:sz w:val="22"/>
          <w:szCs w:val="22"/>
        </w:rPr>
        <w:t>к</w:t>
      </w:r>
      <w:r w:rsidRPr="00534F3B">
        <w:rPr>
          <w:sz w:val="22"/>
          <w:szCs w:val="22"/>
        </w:rPr>
        <w:t>видност на дружествата е инвестиционният параметър, по който се отличават съществено дружес</w:t>
      </w:r>
      <w:r w:rsidRPr="00534F3B">
        <w:rPr>
          <w:sz w:val="22"/>
          <w:szCs w:val="22"/>
        </w:rPr>
        <w:t>т</w:t>
      </w:r>
      <w:r w:rsidRPr="00534F3B">
        <w:rPr>
          <w:sz w:val="22"/>
          <w:szCs w:val="22"/>
        </w:rPr>
        <w:t>вата от централноевропейските фондови борси спрямо тези от новата периферия на ЕС.</w:t>
      </w:r>
    </w:p>
    <w:p w:rsidR="00AD48E2" w:rsidRPr="00534F3B" w:rsidRDefault="00AD48E2" w:rsidP="00AD48E2">
      <w:pPr>
        <w:spacing w:line="300" w:lineRule="exact"/>
        <w:ind w:firstLine="284"/>
        <w:jc w:val="both"/>
        <w:rPr>
          <w:sz w:val="22"/>
          <w:szCs w:val="22"/>
        </w:rPr>
      </w:pPr>
    </w:p>
    <w:p w:rsidR="00AD48E2" w:rsidRPr="00534F3B" w:rsidRDefault="00AD48E2" w:rsidP="00AD48E2">
      <w:pPr>
        <w:pStyle w:val="Heading3"/>
      </w:pPr>
      <w:r w:rsidRPr="00534F3B">
        <w:t>Библиография</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r w:rsidRPr="00534F3B">
        <w:rPr>
          <w:noProof/>
          <w:sz w:val="22"/>
          <w:szCs w:val="22"/>
          <w:lang w:val="bg-BG"/>
        </w:rPr>
        <w:t xml:space="preserve">Василева, В. анализaтор в Investor.bg </w:t>
      </w:r>
    </w:p>
    <w:p w:rsidR="00AD48E2" w:rsidRPr="00534F3B" w:rsidRDefault="00AD48E2" w:rsidP="00AD48E2">
      <w:pPr>
        <w:pStyle w:val="Bibliography"/>
        <w:tabs>
          <w:tab w:val="left" w:pos="567"/>
        </w:tabs>
        <w:spacing w:line="300" w:lineRule="exact"/>
        <w:ind w:firstLine="284"/>
        <w:jc w:val="both"/>
        <w:rPr>
          <w:noProof/>
          <w:sz w:val="22"/>
          <w:szCs w:val="22"/>
          <w:lang w:val="bg-BG"/>
        </w:rPr>
      </w:pPr>
      <w:hyperlink r:id="rId8" w:history="1">
        <w:r w:rsidRPr="00534F3B">
          <w:rPr>
            <w:rStyle w:val="Hyperlink"/>
            <w:noProof/>
            <w:color w:val="auto"/>
            <w:sz w:val="22"/>
            <w:szCs w:val="22"/>
            <w:u w:val="none"/>
            <w:lang w:val="bg-BG"/>
          </w:rPr>
          <w:t>https://www.investor.bg/sofix-novini /362/</w:t>
        </w:r>
      </w:hyperlink>
      <w:r w:rsidRPr="00534F3B">
        <w:rPr>
          <w:noProof/>
          <w:sz w:val="22"/>
          <w:szCs w:val="22"/>
          <w:lang w:val="bg-BG"/>
        </w:rPr>
        <w:t>a/dve-treti-ot-kompaniite-v-sofix-izprashtat-2017-g-s-po-malko-akcioneri-253070/</w:t>
      </w:r>
    </w:p>
    <w:p w:rsidR="00AD48E2" w:rsidRPr="00534F3B" w:rsidRDefault="00AD48E2" w:rsidP="0015497C">
      <w:pPr>
        <w:pStyle w:val="FootnoteText"/>
        <w:numPr>
          <w:ilvl w:val="3"/>
          <w:numId w:val="10"/>
        </w:numPr>
        <w:tabs>
          <w:tab w:val="left" w:pos="567"/>
        </w:tabs>
        <w:spacing w:line="300" w:lineRule="exact"/>
        <w:ind w:left="0" w:firstLine="284"/>
        <w:rPr>
          <w:noProof/>
          <w:sz w:val="22"/>
          <w:szCs w:val="22"/>
          <w:lang w:val="bg-BG"/>
        </w:rPr>
      </w:pPr>
      <w:r w:rsidRPr="00534F3B">
        <w:rPr>
          <w:noProof/>
          <w:sz w:val="22"/>
          <w:szCs w:val="22"/>
          <w:lang w:val="bg-BG"/>
        </w:rPr>
        <w:t>Найденова, К. Прило</w:t>
      </w:r>
      <w:r w:rsidRPr="00534F3B">
        <w:rPr>
          <w:noProof/>
          <w:sz w:val="22"/>
          <w:szCs w:val="22"/>
          <w:lang w:val="bg-BG"/>
        </w:rPr>
        <w:softHyphen/>
        <w:t>жи</w:t>
      </w:r>
      <w:r w:rsidRPr="00534F3B">
        <w:rPr>
          <w:noProof/>
          <w:sz w:val="22"/>
          <w:szCs w:val="22"/>
          <w:lang w:val="bg-BG"/>
        </w:rPr>
        <w:softHyphen/>
        <w:t>ми показатели за измерване на ликвидността на българския фондов пазар. // Известия, Ико</w:t>
      </w:r>
      <w:r w:rsidRPr="00534F3B">
        <w:rPr>
          <w:noProof/>
          <w:sz w:val="22"/>
          <w:szCs w:val="22"/>
          <w:lang w:val="bg-BG"/>
        </w:rPr>
        <w:softHyphen/>
        <w:t xml:space="preserve">номически Университет Варна, 2014, к. 4-та, </w:t>
      </w:r>
      <w:hyperlink r:id="rId9" w:history="1">
        <w:r w:rsidRPr="00534F3B">
          <w:rPr>
            <w:rStyle w:val="Hyperlink"/>
            <w:noProof/>
            <w:color w:val="auto"/>
            <w:sz w:val="22"/>
            <w:szCs w:val="22"/>
            <w:u w:val="none"/>
            <w:lang w:val="bg-BG"/>
          </w:rPr>
          <w:t>http://journal.ue-varna.bg/uploads/20150401104953_</w:t>
        </w:r>
      </w:hyperlink>
      <w:r w:rsidRPr="00534F3B">
        <w:rPr>
          <w:noProof/>
          <w:sz w:val="22"/>
          <w:szCs w:val="22"/>
          <w:lang w:val="bg-BG"/>
        </w:rPr>
        <w:t>117361656 8551bcd515d18c.pdf</w:t>
      </w:r>
    </w:p>
    <w:p w:rsidR="00AD48E2" w:rsidRPr="00534F3B" w:rsidRDefault="00AD48E2" w:rsidP="0015497C">
      <w:pPr>
        <w:pStyle w:val="FootnoteText"/>
        <w:numPr>
          <w:ilvl w:val="3"/>
          <w:numId w:val="10"/>
        </w:numPr>
        <w:tabs>
          <w:tab w:val="left" w:pos="567"/>
        </w:tabs>
        <w:spacing w:line="300" w:lineRule="exact"/>
        <w:ind w:left="0" w:firstLine="284"/>
        <w:rPr>
          <w:noProof/>
          <w:sz w:val="22"/>
          <w:szCs w:val="22"/>
          <w:lang w:val="bg-BG"/>
        </w:rPr>
      </w:pPr>
      <w:r w:rsidRPr="00534F3B">
        <w:rPr>
          <w:sz w:val="22"/>
          <w:szCs w:val="22"/>
          <w:lang w:val="bg-BG"/>
        </w:rPr>
        <w:t>Bouchaud, J-Ph., J. Bonart, J. Donier and M. Gould. TRADES, QUOTES AND PRICES – Financial markets under the microscope. 2018. Cambridge University press.</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hyperlink r:id="rId10" w:history="1">
        <w:r w:rsidRPr="00534F3B">
          <w:rPr>
            <w:noProof/>
            <w:sz w:val="22"/>
            <w:szCs w:val="22"/>
            <w:lang w:val="bg-BG"/>
          </w:rPr>
          <w:t>Brunnermeier</w:t>
        </w:r>
      </w:hyperlink>
      <w:r w:rsidRPr="00534F3B">
        <w:rPr>
          <w:noProof/>
          <w:sz w:val="22"/>
          <w:szCs w:val="22"/>
          <w:lang w:val="bg-BG"/>
        </w:rPr>
        <w:t>,</w:t>
      </w:r>
      <w:r w:rsidRPr="00534F3B">
        <w:rPr>
          <w:sz w:val="22"/>
          <w:szCs w:val="22"/>
          <w:lang w:val="bg-BG"/>
        </w:rPr>
        <w:t xml:space="preserve"> </w:t>
      </w:r>
      <w:r w:rsidRPr="00534F3B">
        <w:rPr>
          <w:noProof/>
          <w:sz w:val="22"/>
          <w:szCs w:val="22"/>
          <w:lang w:val="bg-BG"/>
        </w:rPr>
        <w:t xml:space="preserve">M. K. </w:t>
      </w:r>
      <w:r w:rsidRPr="00534F3B">
        <w:rPr>
          <w:bCs/>
          <w:noProof/>
          <w:sz w:val="22"/>
          <w:szCs w:val="22"/>
          <w:lang w:val="bg-BG"/>
        </w:rPr>
        <w:t xml:space="preserve">Market Liquidity and Funding Liquidity, </w:t>
      </w:r>
      <w:r w:rsidRPr="00534F3B">
        <w:rPr>
          <w:iCs/>
          <w:noProof/>
          <w:sz w:val="22"/>
          <w:szCs w:val="22"/>
          <w:lang w:val="bg-BG"/>
        </w:rPr>
        <w:t>The Review of Financial Studies</w:t>
      </w:r>
      <w:r w:rsidRPr="00534F3B">
        <w:rPr>
          <w:noProof/>
          <w:sz w:val="22"/>
          <w:szCs w:val="22"/>
          <w:lang w:val="bg-BG"/>
        </w:rPr>
        <w:t>, Volume 22, Issue 6, 1 June 2009, Pages 2201-2238, </w:t>
      </w:r>
      <w:hyperlink r:id="rId11" w:history="1">
        <w:r w:rsidRPr="00534F3B">
          <w:rPr>
            <w:rStyle w:val="Hyperlink"/>
            <w:noProof/>
            <w:color w:val="auto"/>
            <w:sz w:val="22"/>
            <w:szCs w:val="22"/>
            <w:u w:val="none"/>
            <w:lang w:val="bg-BG"/>
          </w:rPr>
          <w:t>https://doi.org/10.1093/rfs/hhn098</w:t>
        </w:r>
      </w:hyperlink>
    </w:p>
    <w:p w:rsidR="00AD48E2" w:rsidRPr="00534F3B" w:rsidRDefault="00AD48E2" w:rsidP="0015497C">
      <w:pPr>
        <w:pStyle w:val="ListParagraph"/>
        <w:numPr>
          <w:ilvl w:val="3"/>
          <w:numId w:val="10"/>
        </w:numPr>
        <w:tabs>
          <w:tab w:val="left" w:pos="567"/>
        </w:tabs>
        <w:spacing w:line="300" w:lineRule="exact"/>
        <w:ind w:left="0" w:firstLine="284"/>
        <w:contextualSpacing w:val="0"/>
        <w:jc w:val="both"/>
        <w:rPr>
          <w:noProof/>
          <w:sz w:val="22"/>
          <w:szCs w:val="22"/>
          <w:lang w:val="bg-BG"/>
        </w:rPr>
      </w:pPr>
      <w:r w:rsidRPr="00534F3B">
        <w:rPr>
          <w:noProof/>
          <w:sz w:val="22"/>
          <w:szCs w:val="22"/>
          <w:lang w:val="bg-BG"/>
        </w:rPr>
        <w:t xml:space="preserve">Kang, W. and H. Zhang, "Measuring Liquidity in Emerging Markets", Social Science Research Network, December. 2010, </w:t>
      </w:r>
      <w:hyperlink r:id="rId12" w:history="1">
        <w:r w:rsidRPr="00534F3B">
          <w:rPr>
            <w:noProof/>
            <w:sz w:val="22"/>
            <w:szCs w:val="22"/>
            <w:lang w:val="bg-BG"/>
          </w:rPr>
          <w:t>http://papers.ssrn.com/sol3/papers</w:t>
        </w:r>
      </w:hyperlink>
      <w:r w:rsidRPr="00534F3B">
        <w:rPr>
          <w:noProof/>
          <w:sz w:val="22"/>
          <w:szCs w:val="22"/>
          <w:lang w:val="bg-BG"/>
        </w:rPr>
        <w:t>. cfm? abstract_id=2326380.</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r w:rsidRPr="00534F3B">
        <w:rPr>
          <w:noProof/>
          <w:sz w:val="22"/>
          <w:szCs w:val="22"/>
          <w:lang w:val="bg-BG"/>
        </w:rPr>
        <w:t>Manuela, S. An application of extreme value theory in estimating liquidity risk, 2017.</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r w:rsidRPr="00534F3B">
        <w:rPr>
          <w:sz w:val="22"/>
          <w:szCs w:val="22"/>
          <w:lang w:val="bg-BG"/>
        </w:rPr>
        <w:t>Sayari, S. and Omri, A. Earnings Management, Accruals and Stock Liquidity. Journal of Finance and Bank Management, June 2017.</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hyperlink r:id="rId13" w:history="1">
        <w:r w:rsidRPr="00534F3B">
          <w:rPr>
            <w:noProof/>
            <w:sz w:val="22"/>
            <w:szCs w:val="22"/>
            <w:lang w:val="bg-BG"/>
          </w:rPr>
          <w:t>http://download.bse-sofia.bg/others/Calendar_BSE_BG_2017.pdf</w:t>
        </w:r>
      </w:hyperlink>
      <w:r w:rsidRPr="00534F3B">
        <w:rPr>
          <w:noProof/>
          <w:sz w:val="22"/>
          <w:szCs w:val="22"/>
          <w:lang w:val="bg-BG"/>
        </w:rPr>
        <w:t xml:space="preserve">; </w:t>
      </w:r>
    </w:p>
    <w:p w:rsidR="00AD48E2" w:rsidRPr="00534F3B" w:rsidRDefault="00AD48E2" w:rsidP="0015497C">
      <w:pPr>
        <w:pStyle w:val="Bibliography"/>
        <w:numPr>
          <w:ilvl w:val="3"/>
          <w:numId w:val="10"/>
        </w:numPr>
        <w:tabs>
          <w:tab w:val="left" w:pos="567"/>
        </w:tabs>
        <w:spacing w:line="300" w:lineRule="exact"/>
        <w:ind w:left="0" w:firstLine="284"/>
        <w:jc w:val="both"/>
        <w:rPr>
          <w:noProof/>
          <w:sz w:val="22"/>
          <w:szCs w:val="22"/>
          <w:lang w:val="bg-BG"/>
        </w:rPr>
      </w:pPr>
      <w:hyperlink r:id="rId14" w:history="1">
        <w:r w:rsidRPr="00534F3B">
          <w:rPr>
            <w:noProof/>
            <w:sz w:val="22"/>
            <w:szCs w:val="22"/>
            <w:lang w:val="bg-BG"/>
          </w:rPr>
          <w:t>http://www.investor.bg/novini-i-analizi/339/a/kolko-sa-akcionerite-v-kompaniite-na-bfb-239220/</w:t>
        </w:r>
      </w:hyperlink>
    </w:p>
    <w:p w:rsidR="00AD48E2" w:rsidRPr="00534F3B" w:rsidRDefault="00AD48E2" w:rsidP="00AD48E2">
      <w:pPr>
        <w:spacing w:line="300" w:lineRule="exact"/>
        <w:ind w:firstLine="284"/>
        <w:jc w:val="both"/>
        <w:rPr>
          <w:noProof/>
          <w:sz w:val="22"/>
          <w:szCs w:val="22"/>
        </w:rPr>
      </w:pPr>
    </w:p>
    <w:p w:rsidR="000A61AB" w:rsidRDefault="000A61AB"/>
    <w:sectPr w:rsidR="000A6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7C" w:rsidRDefault="0015497C" w:rsidP="00AD48E2">
      <w:r>
        <w:separator/>
      </w:r>
    </w:p>
  </w:endnote>
  <w:endnote w:type="continuationSeparator" w:id="0">
    <w:p w:rsidR="0015497C" w:rsidRDefault="0015497C" w:rsidP="00AD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7C" w:rsidRDefault="0015497C" w:rsidP="00AD48E2">
      <w:r>
        <w:separator/>
      </w:r>
    </w:p>
  </w:footnote>
  <w:footnote w:type="continuationSeparator" w:id="0">
    <w:p w:rsidR="0015497C" w:rsidRDefault="0015497C" w:rsidP="00AD48E2">
      <w:r>
        <w:continuationSeparator/>
      </w:r>
    </w:p>
  </w:footnote>
  <w:footnote w:id="1">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Sayari, S. and Omri, A. Earnings Management, Accruals and Stock Liquidity. JFBM, June 2017, Vol. 5, No. 1, pp. 17-28. http://jfbmnet.com/journals/jfbm/Vol_5_No_1_June_2017/2.pdf</w:t>
      </w:r>
    </w:p>
  </w:footnote>
  <w:footnote w:id="2">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 xml:space="preserve">Bouchaud, J-Ph, J. Bonart, J. Donier and M. Gould. TRADES, QUOTES AND PRICES – Financial markets under the microscope. 2018. </w:t>
      </w:r>
      <w:r w:rsidRPr="006E1AFD">
        <w:rPr>
          <w:i/>
          <w:lang w:val="bg-BG"/>
        </w:rPr>
        <w:t>Cambridge University press.</w:t>
      </w:r>
    </w:p>
  </w:footnote>
  <w:footnote w:id="3">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 xml:space="preserve">Kang, W. and H. Zhang, "Measuring Liquidity in Emerging Markets", Social Science Research Network, December. 2010, </w:t>
      </w:r>
      <w:hyperlink w:history="1">
        <w:r w:rsidRPr="006E1AFD">
          <w:rPr>
            <w:lang w:val="bg-BG"/>
          </w:rPr>
          <w:t>http://papers .ssrn.com/sol3/papers</w:t>
        </w:r>
      </w:hyperlink>
      <w:r>
        <w:rPr>
          <w:lang w:val="bg-BG"/>
        </w:rPr>
        <w:t>.cfm?abstract_id=2326380</w:t>
      </w:r>
    </w:p>
  </w:footnote>
  <w:footnote w:id="4">
    <w:p w:rsidR="00AD48E2" w:rsidRPr="006E1AFD" w:rsidRDefault="00AD48E2" w:rsidP="00AD48E2">
      <w:pPr>
        <w:pStyle w:val="FootnoteText"/>
        <w:rPr>
          <w:szCs w:val="24"/>
          <w:lang w:val="bg-BG"/>
        </w:rPr>
      </w:pPr>
      <w:r w:rsidRPr="006E1AFD">
        <w:rPr>
          <w:rStyle w:val="FootnoteReference"/>
          <w:szCs w:val="24"/>
          <w:lang w:val="bg-BG"/>
        </w:rPr>
        <w:footnoteRef/>
      </w:r>
      <w:r w:rsidRPr="006E1AFD">
        <w:rPr>
          <w:lang w:val="bg-BG"/>
        </w:rPr>
        <w:t xml:space="preserve"> </w:t>
      </w:r>
      <w:r w:rsidRPr="006E1AFD">
        <w:rPr>
          <w:lang w:val="bg-BG"/>
        </w:rPr>
        <w:t>Найденова, К. Прило</w:t>
      </w:r>
      <w:r w:rsidRPr="006E1AFD">
        <w:rPr>
          <w:lang w:val="bg-BG"/>
        </w:rPr>
        <w:softHyphen/>
        <w:t>жи</w:t>
      </w:r>
      <w:r w:rsidRPr="006E1AFD">
        <w:rPr>
          <w:lang w:val="bg-BG"/>
        </w:rPr>
        <w:softHyphen/>
        <w:t xml:space="preserve">ми показатели за измерване на ликвидността на българския фондов пазар. </w:t>
      </w:r>
      <w:r w:rsidRPr="006E1AFD">
        <w:rPr>
          <w:lang w:val="bg-BG"/>
        </w:rPr>
        <w:br/>
      </w:r>
      <w:r w:rsidRPr="006E1AFD">
        <w:rPr>
          <w:spacing w:val="-4"/>
          <w:lang w:val="bg-BG"/>
        </w:rPr>
        <w:t>//Известия, Ико</w:t>
      </w:r>
      <w:r w:rsidRPr="006E1AFD">
        <w:rPr>
          <w:spacing w:val="-4"/>
          <w:lang w:val="bg-BG"/>
        </w:rPr>
        <w:softHyphen/>
        <w:t xml:space="preserve">номически Университет Варна, 2014, к. 4-та, </w:t>
      </w:r>
      <w:hyperlink r:id="rId1" w:history="1">
        <w:r w:rsidRPr="006E1AFD">
          <w:rPr>
            <w:spacing w:val="-4"/>
            <w:szCs w:val="24"/>
            <w:lang w:val="bg-BG"/>
          </w:rPr>
          <w:t>http://journal.ue-varna</w:t>
        </w:r>
      </w:hyperlink>
      <w:r w:rsidRPr="006E1AFD">
        <w:rPr>
          <w:spacing w:val="-4"/>
          <w:szCs w:val="24"/>
          <w:lang w:val="bg-BG"/>
        </w:rPr>
        <w:t>.bg/uploads/201</w:t>
      </w:r>
      <w:r w:rsidRPr="006E1AFD">
        <w:rPr>
          <w:szCs w:val="24"/>
          <w:lang w:val="bg-BG"/>
        </w:rPr>
        <w:t xml:space="preserve">50401104953_ 1173616568551bcd515d18c.pdf </w:t>
      </w:r>
    </w:p>
  </w:footnote>
  <w:footnote w:id="5">
    <w:p w:rsidR="00AD48E2" w:rsidRPr="006E1AFD" w:rsidRDefault="00AD48E2" w:rsidP="00AD48E2">
      <w:pPr>
        <w:pStyle w:val="FootnoteText"/>
        <w:rPr>
          <w:lang w:val="bg-BG"/>
        </w:rPr>
      </w:pPr>
      <w:r w:rsidRPr="006E1AFD">
        <w:rPr>
          <w:vertAlign w:val="superscript"/>
          <w:lang w:val="bg-BG"/>
        </w:rPr>
        <w:footnoteRef/>
      </w:r>
      <w:r w:rsidRPr="006E1AFD">
        <w:rPr>
          <w:lang w:val="bg-BG"/>
        </w:rPr>
        <w:t xml:space="preserve"> </w:t>
      </w:r>
      <w:r w:rsidRPr="006E1AFD">
        <w:rPr>
          <w:lang w:val="bg-BG"/>
        </w:rPr>
        <w:t>Основните индикатори и показател, приложени тук са систематизирани в монография Симеонов, Ст. "Измерители на борсовата активност – изследване на индикаторите и анализ на пазарния тренд", Библиотека "Стопански свят", бр. 131, 2016</w:t>
      </w:r>
      <w:r>
        <w:rPr>
          <w:lang w:val="bg-BG"/>
        </w:rPr>
        <w:t xml:space="preserve"> г.</w:t>
      </w:r>
      <w:r w:rsidRPr="006E1AFD">
        <w:rPr>
          <w:lang w:val="bg-BG"/>
        </w:rPr>
        <w:t>, Академично издател</w:t>
      </w:r>
      <w:r w:rsidRPr="006E1AFD">
        <w:rPr>
          <w:lang w:val="bg-BG"/>
        </w:rPr>
        <w:softHyphen/>
        <w:t xml:space="preserve">ство "Ценов" – Свищов. </w:t>
      </w:r>
      <w:r>
        <w:rPr>
          <w:lang w:val="bg-BG"/>
        </w:rPr>
        <w:t xml:space="preserve">Стр. </w:t>
      </w:r>
      <w:r w:rsidRPr="006E1AFD">
        <w:rPr>
          <w:lang w:val="bg-BG"/>
        </w:rPr>
        <w:t xml:space="preserve"> 13 – 48.</w:t>
      </w:r>
    </w:p>
  </w:footnote>
  <w:footnote w:id="6">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Останалите – ниско ликвидни дружества, от сегмент "алтернативен пазар" се търгуват на аукцион и за тях са неприложими част от съществените аналитични показатели.</w:t>
      </w:r>
    </w:p>
  </w:footnote>
  <w:footnote w:id="7">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http://www.bse-sofia.bg/?page=QuarterlyBulletin</w:t>
      </w:r>
    </w:p>
  </w:footnote>
  <w:footnote w:id="8">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http://www.bse-sofia.bg/?page=QuarterlyBulletin</w:t>
      </w:r>
    </w:p>
  </w:footnote>
  <w:footnote w:id="9">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Индикаторът Борсов обем не рядко се бърка с борсовия оборот, но за разлика от него изразява броя и</w:t>
      </w:r>
      <w:r w:rsidRPr="006E1AFD">
        <w:rPr>
          <w:lang w:val="bg-BG"/>
        </w:rPr>
        <w:t>з</w:t>
      </w:r>
      <w:r w:rsidRPr="006E1AFD">
        <w:rPr>
          <w:lang w:val="bg-BG"/>
        </w:rPr>
        <w:t>търгувани акции за съответния период.</w:t>
      </w:r>
    </w:p>
  </w:footnote>
  <w:footnote w:id="10">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Данните са селектирани от търговския календар на БФБ, за 2017</w:t>
      </w:r>
      <w:r>
        <w:rPr>
          <w:lang w:val="bg-BG"/>
        </w:rPr>
        <w:t xml:space="preserve"> г.</w:t>
      </w:r>
      <w:r w:rsidRPr="006E1AFD">
        <w:rPr>
          <w:lang w:val="bg-BG"/>
        </w:rPr>
        <w:t xml:space="preserve"> </w:t>
      </w:r>
      <w:hyperlink r:id="rId2" w:history="1">
        <w:r w:rsidRPr="006E1AFD">
          <w:rPr>
            <w:rStyle w:val="Hyperlink"/>
            <w:color w:val="auto"/>
            <w:u w:val="none"/>
            <w:lang w:val="bg-BG"/>
          </w:rPr>
          <w:t>http://download.bse-sofia.bg/ others/Calendar_BSE_BG_2017.pdf</w:t>
        </w:r>
      </w:hyperlink>
      <w:r w:rsidRPr="006E1AFD">
        <w:rPr>
          <w:lang w:val="bg-BG"/>
        </w:rPr>
        <w:t>; и 2016</w:t>
      </w:r>
      <w:r>
        <w:rPr>
          <w:lang w:val="bg-BG"/>
        </w:rPr>
        <w:t xml:space="preserve"> г.</w:t>
      </w:r>
      <w:r w:rsidRPr="006E1AFD">
        <w:rPr>
          <w:lang w:val="bg-BG"/>
        </w:rPr>
        <w:t xml:space="preserve"> </w:t>
      </w:r>
      <w:hyperlink r:id="rId3" w:history="1">
        <w:r w:rsidRPr="006E1AFD">
          <w:rPr>
            <w:rStyle w:val="Hyperlink"/>
            <w:color w:val="auto"/>
            <w:u w:val="none"/>
            <w:lang w:val="bg-BG"/>
          </w:rPr>
          <w:t>http://download.bse-sofia.bg/others/Calendar_BSE_BG_2016.pdf</w:t>
        </w:r>
      </w:hyperlink>
    </w:p>
  </w:footnote>
  <w:footnote w:id="11">
    <w:p w:rsidR="00AD48E2" w:rsidRPr="006E1AFD" w:rsidRDefault="00AD48E2" w:rsidP="00AD48E2">
      <w:pPr>
        <w:pStyle w:val="FootnoteText"/>
        <w:ind w:left="270" w:hanging="270"/>
        <w:rPr>
          <w:lang w:val="bg-BG"/>
        </w:rPr>
      </w:pPr>
      <w:r w:rsidRPr="006E1AFD">
        <w:rPr>
          <w:rStyle w:val="FootnoteReference"/>
          <w:lang w:val="bg-BG"/>
        </w:rPr>
        <w:footnoteRef/>
      </w:r>
      <w:r w:rsidRPr="006E1AFD">
        <w:rPr>
          <w:lang w:val="bg-BG"/>
        </w:rPr>
        <w:t xml:space="preserve"> </w:t>
      </w:r>
      <w:r w:rsidRPr="006E1AFD">
        <w:rPr>
          <w:lang w:val="bg-BG"/>
        </w:rPr>
        <w:t>Обективните причини за това са разбираеми и могат да се обяснят с обстоятелството, че световните изсл</w:t>
      </w:r>
      <w:r w:rsidRPr="006E1AFD">
        <w:rPr>
          <w:lang w:val="bg-BG"/>
        </w:rPr>
        <w:t>е</w:t>
      </w:r>
      <w:r w:rsidRPr="006E1AFD">
        <w:rPr>
          <w:lang w:val="bg-BG"/>
        </w:rPr>
        <w:t>дователи и най-вече авторите на научна и методична литература са съсредоточени предимно върху разв</w:t>
      </w:r>
      <w:r w:rsidRPr="006E1AFD">
        <w:rPr>
          <w:lang w:val="bg-BG"/>
        </w:rPr>
        <w:t>и</w:t>
      </w:r>
      <w:r w:rsidRPr="006E1AFD">
        <w:rPr>
          <w:lang w:val="bg-BG"/>
        </w:rPr>
        <w:t>т</w:t>
      </w:r>
      <w:r w:rsidRPr="006E1AFD">
        <w:rPr>
          <w:spacing w:val="-4"/>
          <w:lang w:val="bg-BG"/>
        </w:rPr>
        <w:t>ите капиталови пазари, за които не стоят такива проблеми, както отбелязахме в началото на изследването</w:t>
      </w:r>
      <w:r w:rsidRPr="006E1AFD">
        <w:rPr>
          <w:lang w:val="bg-BG"/>
        </w:rPr>
        <w:t>.</w:t>
      </w:r>
    </w:p>
  </w:footnote>
  <w:footnote w:id="12">
    <w:p w:rsidR="00AD48E2" w:rsidRPr="006E1AFD" w:rsidRDefault="00AD48E2" w:rsidP="00AD48E2">
      <w:pPr>
        <w:pStyle w:val="FootnoteText"/>
        <w:rPr>
          <w:lang w:val="bg-BG"/>
        </w:rPr>
      </w:pPr>
      <w:r w:rsidRPr="006E1AFD">
        <w:rPr>
          <w:rStyle w:val="FootnoteReference"/>
          <w:lang w:val="bg-BG"/>
        </w:rPr>
        <w:footnoteRef/>
      </w:r>
      <w:r w:rsidRPr="006E1AFD">
        <w:rPr>
          <w:lang w:val="bg-BG"/>
        </w:rPr>
        <w:t xml:space="preserve"> </w:t>
      </w:r>
      <w:r w:rsidRPr="006E1AFD">
        <w:rPr>
          <w:lang w:val="bg-BG"/>
        </w:rPr>
        <w:t>По данни от пазарната статика на БФБ, http://www.bse-sofia.bg/?page=AnnualStatistics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4C8"/>
    <w:multiLevelType w:val="multilevel"/>
    <w:tmpl w:val="4A52A208"/>
    <w:styleLink w:val="List51"/>
    <w:lvl w:ilvl="0">
      <w:start w:val="10"/>
      <w:numFmt w:val="decimal"/>
      <w:lvlText w:val="%1."/>
      <w:lvlJc w:val="left"/>
      <w:pPr>
        <w:tabs>
          <w:tab w:val="num" w:pos="327"/>
        </w:tabs>
        <w:ind w:left="327" w:hanging="327"/>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nsid w:val="0B881003"/>
    <w:multiLevelType w:val="multilevel"/>
    <w:tmpl w:val="EFF057A0"/>
    <w:styleLink w:val="List0"/>
    <w:lvl w:ilvl="0">
      <w:numFmt w:val="bullet"/>
      <w:lvlText w:val="•"/>
      <w:lvlJc w:val="left"/>
      <w:pPr>
        <w:tabs>
          <w:tab w:val="num" w:pos="262"/>
        </w:tabs>
        <w:ind w:left="262" w:hanging="262"/>
      </w:pPr>
      <w:rPr>
        <w:b/>
        <w:bCs/>
        <w:position w:val="0"/>
        <w:sz w:val="20"/>
        <w:szCs w:val="20"/>
      </w:rPr>
    </w:lvl>
    <w:lvl w:ilvl="1">
      <w:start w:val="1"/>
      <w:numFmt w:val="bullet"/>
      <w:lvlText w:val="•"/>
      <w:lvlJc w:val="left"/>
      <w:pPr>
        <w:tabs>
          <w:tab w:val="num" w:pos="933"/>
        </w:tabs>
        <w:ind w:left="933" w:hanging="233"/>
      </w:pPr>
      <w:rPr>
        <w:b/>
        <w:bCs/>
        <w:position w:val="0"/>
        <w:sz w:val="18"/>
        <w:szCs w:val="18"/>
      </w:rPr>
    </w:lvl>
    <w:lvl w:ilvl="2">
      <w:start w:val="1"/>
      <w:numFmt w:val="bullet"/>
      <w:lvlText w:val="•"/>
      <w:lvlJc w:val="left"/>
      <w:pPr>
        <w:tabs>
          <w:tab w:val="num" w:pos="1633"/>
        </w:tabs>
        <w:ind w:left="1633" w:hanging="233"/>
      </w:pPr>
      <w:rPr>
        <w:b/>
        <w:bCs/>
        <w:position w:val="0"/>
        <w:sz w:val="18"/>
        <w:szCs w:val="18"/>
      </w:rPr>
    </w:lvl>
    <w:lvl w:ilvl="3">
      <w:start w:val="1"/>
      <w:numFmt w:val="bullet"/>
      <w:lvlText w:val="•"/>
      <w:lvlJc w:val="left"/>
      <w:pPr>
        <w:tabs>
          <w:tab w:val="num" w:pos="2333"/>
        </w:tabs>
        <w:ind w:left="2333" w:hanging="233"/>
      </w:pPr>
      <w:rPr>
        <w:b/>
        <w:bCs/>
        <w:position w:val="0"/>
        <w:sz w:val="18"/>
        <w:szCs w:val="18"/>
      </w:rPr>
    </w:lvl>
    <w:lvl w:ilvl="4">
      <w:start w:val="1"/>
      <w:numFmt w:val="bullet"/>
      <w:lvlText w:val="•"/>
      <w:lvlJc w:val="left"/>
      <w:pPr>
        <w:tabs>
          <w:tab w:val="num" w:pos="3033"/>
        </w:tabs>
        <w:ind w:left="3033" w:hanging="233"/>
      </w:pPr>
      <w:rPr>
        <w:b/>
        <w:bCs/>
        <w:position w:val="0"/>
        <w:sz w:val="18"/>
        <w:szCs w:val="18"/>
      </w:rPr>
    </w:lvl>
    <w:lvl w:ilvl="5">
      <w:start w:val="1"/>
      <w:numFmt w:val="bullet"/>
      <w:lvlText w:val="•"/>
      <w:lvlJc w:val="left"/>
      <w:pPr>
        <w:tabs>
          <w:tab w:val="num" w:pos="3733"/>
        </w:tabs>
        <w:ind w:left="3733" w:hanging="233"/>
      </w:pPr>
      <w:rPr>
        <w:b/>
        <w:bCs/>
        <w:position w:val="0"/>
        <w:sz w:val="18"/>
        <w:szCs w:val="18"/>
      </w:rPr>
    </w:lvl>
    <w:lvl w:ilvl="6">
      <w:start w:val="1"/>
      <w:numFmt w:val="bullet"/>
      <w:lvlText w:val="•"/>
      <w:lvlJc w:val="left"/>
      <w:pPr>
        <w:tabs>
          <w:tab w:val="num" w:pos="4433"/>
        </w:tabs>
        <w:ind w:left="4433" w:hanging="233"/>
      </w:pPr>
      <w:rPr>
        <w:b/>
        <w:bCs/>
        <w:position w:val="0"/>
        <w:sz w:val="18"/>
        <w:szCs w:val="18"/>
      </w:rPr>
    </w:lvl>
    <w:lvl w:ilvl="7">
      <w:start w:val="1"/>
      <w:numFmt w:val="bullet"/>
      <w:lvlText w:val="•"/>
      <w:lvlJc w:val="left"/>
      <w:pPr>
        <w:tabs>
          <w:tab w:val="num" w:pos="5133"/>
        </w:tabs>
        <w:ind w:left="5133" w:hanging="233"/>
      </w:pPr>
      <w:rPr>
        <w:b/>
        <w:bCs/>
        <w:position w:val="0"/>
        <w:sz w:val="18"/>
        <w:szCs w:val="18"/>
      </w:rPr>
    </w:lvl>
    <w:lvl w:ilvl="8">
      <w:start w:val="1"/>
      <w:numFmt w:val="bullet"/>
      <w:lvlText w:val="•"/>
      <w:lvlJc w:val="left"/>
      <w:pPr>
        <w:tabs>
          <w:tab w:val="num" w:pos="5833"/>
        </w:tabs>
        <w:ind w:left="5833" w:hanging="233"/>
      </w:pPr>
      <w:rPr>
        <w:b/>
        <w:bCs/>
        <w:position w:val="0"/>
        <w:sz w:val="18"/>
        <w:szCs w:val="18"/>
      </w:rPr>
    </w:lvl>
  </w:abstractNum>
  <w:abstractNum w:abstractNumId="2">
    <w:nsid w:val="14D31BA5"/>
    <w:multiLevelType w:val="multilevel"/>
    <w:tmpl w:val="8A068142"/>
    <w:styleLink w:val="List1"/>
    <w:lvl w:ilvl="0">
      <w:numFmt w:val="bullet"/>
      <w:lvlText w:val="•"/>
      <w:lvlJc w:val="left"/>
      <w:pPr>
        <w:tabs>
          <w:tab w:val="num" w:pos="240"/>
        </w:tabs>
        <w:ind w:left="240" w:hanging="240"/>
      </w:pPr>
      <w:rPr>
        <w:b/>
        <w:bCs/>
        <w:i/>
        <w:iCs/>
        <w:position w:val="-2"/>
        <w:sz w:val="26"/>
        <w:szCs w:val="26"/>
      </w:rPr>
    </w:lvl>
    <w:lvl w:ilvl="1">
      <w:start w:val="1"/>
      <w:numFmt w:val="bullet"/>
      <w:lvlText w:val="•"/>
      <w:lvlJc w:val="left"/>
      <w:pPr>
        <w:tabs>
          <w:tab w:val="num" w:pos="360"/>
        </w:tabs>
        <w:ind w:left="360" w:hanging="180"/>
      </w:pPr>
      <w:rPr>
        <w:b/>
        <w:bCs/>
        <w:i/>
        <w:iCs/>
        <w:position w:val="-2"/>
        <w:sz w:val="22"/>
        <w:szCs w:val="22"/>
      </w:rPr>
    </w:lvl>
    <w:lvl w:ilvl="2">
      <w:start w:val="1"/>
      <w:numFmt w:val="bullet"/>
      <w:lvlText w:val="•"/>
      <w:lvlJc w:val="left"/>
      <w:pPr>
        <w:tabs>
          <w:tab w:val="num" w:pos="540"/>
        </w:tabs>
        <w:ind w:left="540" w:hanging="180"/>
      </w:pPr>
      <w:rPr>
        <w:b/>
        <w:bCs/>
        <w:i/>
        <w:iCs/>
        <w:position w:val="-2"/>
        <w:sz w:val="22"/>
        <w:szCs w:val="22"/>
      </w:rPr>
    </w:lvl>
    <w:lvl w:ilvl="3">
      <w:start w:val="1"/>
      <w:numFmt w:val="bullet"/>
      <w:lvlText w:val="•"/>
      <w:lvlJc w:val="left"/>
      <w:pPr>
        <w:tabs>
          <w:tab w:val="num" w:pos="720"/>
        </w:tabs>
        <w:ind w:left="720" w:hanging="180"/>
      </w:pPr>
      <w:rPr>
        <w:b/>
        <w:bCs/>
        <w:i/>
        <w:iCs/>
        <w:position w:val="-2"/>
        <w:sz w:val="22"/>
        <w:szCs w:val="22"/>
      </w:rPr>
    </w:lvl>
    <w:lvl w:ilvl="4">
      <w:start w:val="1"/>
      <w:numFmt w:val="bullet"/>
      <w:lvlText w:val="•"/>
      <w:lvlJc w:val="left"/>
      <w:pPr>
        <w:tabs>
          <w:tab w:val="num" w:pos="900"/>
        </w:tabs>
        <w:ind w:left="900" w:hanging="180"/>
      </w:pPr>
      <w:rPr>
        <w:b/>
        <w:bCs/>
        <w:i/>
        <w:iCs/>
        <w:position w:val="-2"/>
        <w:sz w:val="22"/>
        <w:szCs w:val="22"/>
      </w:rPr>
    </w:lvl>
    <w:lvl w:ilvl="5">
      <w:start w:val="1"/>
      <w:numFmt w:val="bullet"/>
      <w:lvlText w:val="•"/>
      <w:lvlJc w:val="left"/>
      <w:pPr>
        <w:tabs>
          <w:tab w:val="num" w:pos="1080"/>
        </w:tabs>
        <w:ind w:left="1080" w:hanging="180"/>
      </w:pPr>
      <w:rPr>
        <w:b/>
        <w:bCs/>
        <w:i/>
        <w:iCs/>
        <w:position w:val="-2"/>
        <w:sz w:val="22"/>
        <w:szCs w:val="22"/>
      </w:rPr>
    </w:lvl>
    <w:lvl w:ilvl="6">
      <w:start w:val="1"/>
      <w:numFmt w:val="bullet"/>
      <w:lvlText w:val="•"/>
      <w:lvlJc w:val="left"/>
      <w:pPr>
        <w:tabs>
          <w:tab w:val="num" w:pos="1260"/>
        </w:tabs>
        <w:ind w:left="1260" w:hanging="180"/>
      </w:pPr>
      <w:rPr>
        <w:b/>
        <w:bCs/>
        <w:i/>
        <w:iCs/>
        <w:position w:val="-2"/>
        <w:sz w:val="22"/>
        <w:szCs w:val="22"/>
      </w:rPr>
    </w:lvl>
    <w:lvl w:ilvl="7">
      <w:start w:val="1"/>
      <w:numFmt w:val="bullet"/>
      <w:lvlText w:val="•"/>
      <w:lvlJc w:val="left"/>
      <w:pPr>
        <w:tabs>
          <w:tab w:val="num" w:pos="1440"/>
        </w:tabs>
        <w:ind w:left="1440" w:hanging="180"/>
      </w:pPr>
      <w:rPr>
        <w:b/>
        <w:bCs/>
        <w:i/>
        <w:iCs/>
        <w:position w:val="-2"/>
        <w:sz w:val="22"/>
        <w:szCs w:val="22"/>
      </w:rPr>
    </w:lvl>
    <w:lvl w:ilvl="8">
      <w:start w:val="1"/>
      <w:numFmt w:val="bullet"/>
      <w:lvlText w:val="•"/>
      <w:lvlJc w:val="left"/>
      <w:pPr>
        <w:tabs>
          <w:tab w:val="num" w:pos="1620"/>
        </w:tabs>
        <w:ind w:left="1620" w:hanging="180"/>
      </w:pPr>
      <w:rPr>
        <w:b/>
        <w:bCs/>
        <w:i/>
        <w:iCs/>
        <w:position w:val="-2"/>
        <w:sz w:val="22"/>
        <w:szCs w:val="22"/>
      </w:rPr>
    </w:lvl>
  </w:abstractNum>
  <w:abstractNum w:abstractNumId="3">
    <w:nsid w:val="1A7E0BC3"/>
    <w:multiLevelType w:val="multilevel"/>
    <w:tmpl w:val="8210FE9A"/>
    <w:styleLink w:val="List31"/>
    <w:lvl w:ilvl="0">
      <w:start w:val="1"/>
      <w:numFmt w:val="decimal"/>
      <w:lvlText w:val="%1)"/>
      <w:lvlJc w:val="left"/>
      <w:pPr>
        <w:tabs>
          <w:tab w:val="num" w:pos="1276"/>
        </w:tabs>
        <w:ind w:left="1276" w:hanging="709"/>
      </w:pPr>
      <w:rPr>
        <w:rFonts w:ascii="Times New Roman" w:eastAsia="Times New Roman" w:hAnsi="Times New Roman" w:cs="Times New Roman"/>
        <w:position w:val="0"/>
        <w:sz w:val="28"/>
        <w:szCs w:val="28"/>
      </w:rPr>
    </w:lvl>
    <w:lvl w:ilvl="1">
      <w:start w:val="1"/>
      <w:numFmt w:val="upperLetter"/>
      <w:lvlText w:val="%2."/>
      <w:lvlJc w:val="left"/>
      <w:pPr>
        <w:tabs>
          <w:tab w:val="num" w:pos="1385"/>
        </w:tabs>
        <w:ind w:left="1385" w:hanging="458"/>
      </w:pPr>
      <w:rPr>
        <w:rFonts w:ascii="Times New Roman" w:eastAsia="Times New Roman" w:hAnsi="Times New Roman" w:cs="Times New Roman"/>
        <w:position w:val="0"/>
        <w:sz w:val="28"/>
        <w:szCs w:val="28"/>
      </w:rPr>
    </w:lvl>
    <w:lvl w:ilvl="2">
      <w:start w:val="1"/>
      <w:numFmt w:val="decimal"/>
      <w:lvlText w:val="%3."/>
      <w:lvlJc w:val="left"/>
      <w:pPr>
        <w:tabs>
          <w:tab w:val="num" w:pos="1745"/>
        </w:tabs>
        <w:ind w:left="1745" w:hanging="458"/>
      </w:pPr>
      <w:rPr>
        <w:rFonts w:ascii="Times New Roman" w:eastAsia="Times New Roman" w:hAnsi="Times New Roman" w:cs="Times New Roman"/>
        <w:position w:val="0"/>
        <w:sz w:val="28"/>
        <w:szCs w:val="28"/>
      </w:rPr>
    </w:lvl>
    <w:lvl w:ilvl="3">
      <w:start w:val="1"/>
      <w:numFmt w:val="lowerLetter"/>
      <w:lvlText w:val="%4)"/>
      <w:lvlJc w:val="left"/>
      <w:pPr>
        <w:tabs>
          <w:tab w:val="num" w:pos="2105"/>
        </w:tabs>
        <w:ind w:left="2105" w:hanging="458"/>
      </w:pPr>
      <w:rPr>
        <w:rFonts w:ascii="Times New Roman" w:eastAsia="Times New Roman" w:hAnsi="Times New Roman" w:cs="Times New Roman"/>
        <w:position w:val="0"/>
        <w:sz w:val="28"/>
        <w:szCs w:val="28"/>
      </w:rPr>
    </w:lvl>
    <w:lvl w:ilvl="4">
      <w:start w:val="1"/>
      <w:numFmt w:val="decimal"/>
      <w:lvlText w:val="(%5)"/>
      <w:lvlJc w:val="left"/>
      <w:pPr>
        <w:tabs>
          <w:tab w:val="num" w:pos="2465"/>
        </w:tabs>
        <w:ind w:left="2465" w:hanging="458"/>
      </w:pPr>
      <w:rPr>
        <w:rFonts w:ascii="Times New Roman" w:eastAsia="Times New Roman" w:hAnsi="Times New Roman" w:cs="Times New Roman"/>
        <w:position w:val="0"/>
        <w:sz w:val="28"/>
        <w:szCs w:val="28"/>
      </w:rPr>
    </w:lvl>
    <w:lvl w:ilvl="5">
      <w:start w:val="1"/>
      <w:numFmt w:val="lowerLetter"/>
      <w:lvlText w:val="(%6)"/>
      <w:lvlJc w:val="left"/>
      <w:pPr>
        <w:tabs>
          <w:tab w:val="num" w:pos="2825"/>
        </w:tabs>
        <w:ind w:left="2825" w:hanging="458"/>
      </w:pPr>
      <w:rPr>
        <w:rFonts w:ascii="Times New Roman" w:eastAsia="Times New Roman" w:hAnsi="Times New Roman" w:cs="Times New Roman"/>
        <w:position w:val="0"/>
        <w:sz w:val="28"/>
        <w:szCs w:val="28"/>
      </w:rPr>
    </w:lvl>
    <w:lvl w:ilvl="6">
      <w:start w:val="1"/>
      <w:numFmt w:val="lowerRoman"/>
      <w:lvlText w:val="%7)"/>
      <w:lvlJc w:val="left"/>
      <w:pPr>
        <w:tabs>
          <w:tab w:val="num" w:pos="3185"/>
        </w:tabs>
        <w:ind w:left="3185" w:hanging="458"/>
      </w:pPr>
      <w:rPr>
        <w:rFonts w:ascii="Times New Roman" w:eastAsia="Times New Roman" w:hAnsi="Times New Roman" w:cs="Times New Roman"/>
        <w:position w:val="0"/>
        <w:sz w:val="28"/>
        <w:szCs w:val="28"/>
      </w:rPr>
    </w:lvl>
    <w:lvl w:ilvl="7">
      <w:start w:val="1"/>
      <w:numFmt w:val="decimal"/>
      <w:lvlText w:val="(%8)"/>
      <w:lvlJc w:val="left"/>
      <w:pPr>
        <w:tabs>
          <w:tab w:val="num" w:pos="3545"/>
        </w:tabs>
        <w:ind w:left="3545" w:hanging="458"/>
      </w:pPr>
      <w:rPr>
        <w:rFonts w:ascii="Times New Roman" w:eastAsia="Times New Roman" w:hAnsi="Times New Roman" w:cs="Times New Roman"/>
        <w:position w:val="0"/>
        <w:sz w:val="28"/>
        <w:szCs w:val="28"/>
      </w:rPr>
    </w:lvl>
    <w:lvl w:ilvl="8">
      <w:start w:val="1"/>
      <w:numFmt w:val="lowerLetter"/>
      <w:lvlText w:val="(%9)"/>
      <w:lvlJc w:val="left"/>
      <w:pPr>
        <w:tabs>
          <w:tab w:val="num" w:pos="3905"/>
        </w:tabs>
        <w:ind w:left="3905" w:hanging="458"/>
      </w:pPr>
      <w:rPr>
        <w:rFonts w:ascii="Times New Roman" w:eastAsia="Times New Roman" w:hAnsi="Times New Roman" w:cs="Times New Roman"/>
        <w:position w:val="0"/>
        <w:sz w:val="28"/>
        <w:szCs w:val="28"/>
      </w:rPr>
    </w:lvl>
  </w:abstractNum>
  <w:abstractNum w:abstractNumId="4">
    <w:nsid w:val="1E8C25C7"/>
    <w:multiLevelType w:val="multilevel"/>
    <w:tmpl w:val="2C307F72"/>
    <w:lvl w:ilvl="0">
      <w:start w:val="1"/>
      <w:numFmt w:val="decimal"/>
      <w:pStyle w:val="BogidarStyle"/>
      <w:lvlText w:val="%1."/>
      <w:lvlJc w:val="left"/>
      <w:pPr>
        <w:tabs>
          <w:tab w:val="num" w:pos="644"/>
        </w:tabs>
        <w:ind w:left="0" w:firstLine="284"/>
      </w:pPr>
      <w:rPr>
        <w:rFonts w:hint="default"/>
      </w:rPr>
    </w:lvl>
    <w:lvl w:ilvl="1">
      <w:start w:val="1"/>
      <w:numFmt w:val="decimal"/>
      <w:pStyle w:val="BogdarStyle1"/>
      <w:lvlText w:val="%1.%2."/>
      <w:lvlJc w:val="left"/>
      <w:pPr>
        <w:tabs>
          <w:tab w:val="num" w:pos="1575"/>
        </w:tabs>
        <w:ind w:left="324" w:firstLine="531"/>
      </w:pPr>
      <w:rPr>
        <w:rFonts w:hint="default"/>
      </w:rPr>
    </w:lvl>
    <w:lvl w:ilvl="2">
      <w:start w:val="1"/>
      <w:numFmt w:val="decimal"/>
      <w:lvlText w:val="%1.%2.%3."/>
      <w:lvlJc w:val="left"/>
      <w:pPr>
        <w:tabs>
          <w:tab w:val="num" w:pos="1611"/>
        </w:tabs>
        <w:ind w:left="0" w:firstLine="891"/>
      </w:pPr>
      <w:rPr>
        <w:rFonts w:hint="default"/>
      </w:rPr>
    </w:lvl>
    <w:lvl w:ilvl="3">
      <w:start w:val="1"/>
      <w:numFmt w:val="decimal"/>
      <w:lvlText w:val="%1.%2.%3.%4."/>
      <w:lvlJc w:val="left"/>
      <w:pPr>
        <w:tabs>
          <w:tab w:val="num" w:pos="2331"/>
        </w:tabs>
        <w:ind w:left="1899" w:hanging="648"/>
      </w:pPr>
      <w:rPr>
        <w:rFonts w:hint="default"/>
      </w:rPr>
    </w:lvl>
    <w:lvl w:ilvl="4">
      <w:start w:val="1"/>
      <w:numFmt w:val="decimal"/>
      <w:lvlText w:val="%1.%2.%3.%4.%5."/>
      <w:lvlJc w:val="left"/>
      <w:pPr>
        <w:tabs>
          <w:tab w:val="num" w:pos="2691"/>
        </w:tabs>
        <w:ind w:left="2403" w:hanging="792"/>
      </w:pPr>
      <w:rPr>
        <w:rFonts w:hint="default"/>
      </w:rPr>
    </w:lvl>
    <w:lvl w:ilvl="5">
      <w:start w:val="1"/>
      <w:numFmt w:val="decimal"/>
      <w:lvlText w:val="%1.%2.%3.%4.%5.%6."/>
      <w:lvlJc w:val="left"/>
      <w:pPr>
        <w:tabs>
          <w:tab w:val="num" w:pos="3411"/>
        </w:tabs>
        <w:ind w:left="2907" w:hanging="936"/>
      </w:pPr>
      <w:rPr>
        <w:rFonts w:hint="default"/>
      </w:rPr>
    </w:lvl>
    <w:lvl w:ilvl="6">
      <w:start w:val="1"/>
      <w:numFmt w:val="decimal"/>
      <w:lvlText w:val="445"/>
      <w:lvlJc w:val="left"/>
      <w:pPr>
        <w:tabs>
          <w:tab w:val="num" w:pos="3411"/>
        </w:tabs>
        <w:ind w:left="3411" w:hanging="1080"/>
      </w:pPr>
      <w:rPr>
        <w:rFonts w:hint="default"/>
      </w:rPr>
    </w:lvl>
    <w:lvl w:ilvl="7">
      <w:start w:val="1"/>
      <w:numFmt w:val="decimal"/>
      <w:lvlText w:val="%1.%2.%3.%4.%5.%6.%7.%8."/>
      <w:lvlJc w:val="left"/>
      <w:pPr>
        <w:tabs>
          <w:tab w:val="num" w:pos="4491"/>
        </w:tabs>
        <w:ind w:left="3915" w:hanging="1224"/>
      </w:pPr>
      <w:rPr>
        <w:rFonts w:hint="default"/>
      </w:rPr>
    </w:lvl>
    <w:lvl w:ilvl="8">
      <w:start w:val="1"/>
      <w:numFmt w:val="decimal"/>
      <w:lvlText w:val="%1.%2.%3.%4.%5.%6.%7.%8.%9."/>
      <w:lvlJc w:val="left"/>
      <w:pPr>
        <w:tabs>
          <w:tab w:val="num" w:pos="5211"/>
        </w:tabs>
        <w:ind w:left="4491" w:hanging="1440"/>
      </w:pPr>
      <w:rPr>
        <w:rFonts w:hint="default"/>
      </w:rPr>
    </w:lvl>
  </w:abstractNum>
  <w:abstractNum w:abstractNumId="5">
    <w:nsid w:val="257376FB"/>
    <w:multiLevelType w:val="multilevel"/>
    <w:tmpl w:val="B1905148"/>
    <w:styleLink w:val="List4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nsid w:val="3C1E7B16"/>
    <w:multiLevelType w:val="multilevel"/>
    <w:tmpl w:val="7A9E6456"/>
    <w:styleLink w:val="List21"/>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4412219E"/>
    <w:multiLevelType w:val="hybridMultilevel"/>
    <w:tmpl w:val="D5C6B0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2E093E"/>
    <w:multiLevelType w:val="multilevel"/>
    <w:tmpl w:val="8DD6E718"/>
    <w:styleLink w:val="Numbered"/>
    <w:lvl w:ilvl="0">
      <w:start w:val="1"/>
      <w:numFmt w:val="decimal"/>
      <w:lvlText w:val="%1."/>
      <w:lvlJc w:val="left"/>
      <w:pPr>
        <w:tabs>
          <w:tab w:val="num" w:pos="393"/>
        </w:tabs>
        <w:ind w:left="393" w:hanging="393"/>
      </w:pPr>
      <w:rPr>
        <w:position w:val="0"/>
        <w:sz w:val="20"/>
        <w:szCs w:val="20"/>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9">
    <w:nsid w:val="686818F1"/>
    <w:multiLevelType w:val="multilevel"/>
    <w:tmpl w:val="0BD2BE78"/>
    <w:styleLink w:val="Bullet"/>
    <w:lvl w:ilvl="0">
      <w:numFmt w:val="bullet"/>
      <w:lvlText w:val="•"/>
      <w:lvlJc w:val="left"/>
      <w:pPr>
        <w:tabs>
          <w:tab w:val="num" w:pos="196"/>
        </w:tabs>
        <w:ind w:left="196" w:hanging="196"/>
      </w:pPr>
      <w:rPr>
        <w:position w:val="-2"/>
        <w:sz w:val="26"/>
        <w:szCs w:val="26"/>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
  </w:num>
  <w:num w:numId="2">
    <w:abstractNumId w:val="9"/>
  </w:num>
  <w:num w:numId="3">
    <w:abstractNumId w:val="2"/>
  </w:num>
  <w:num w:numId="4">
    <w:abstractNumId w:val="6"/>
  </w:num>
  <w:num w:numId="5">
    <w:abstractNumId w:val="5"/>
  </w:num>
  <w:num w:numId="6">
    <w:abstractNumId w:val="8"/>
  </w:num>
  <w:num w:numId="7">
    <w:abstractNumId w:val="4"/>
  </w:num>
  <w:num w:numId="8">
    <w:abstractNumId w:val="0"/>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E2"/>
    <w:rsid w:val="000A61AB"/>
    <w:rsid w:val="0015497C"/>
    <w:rsid w:val="009C06BE"/>
    <w:rsid w:val="00AD48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AD48E2"/>
    <w:pPr>
      <w:spacing w:after="240"/>
      <w:jc w:val="center"/>
      <w:outlineLvl w:val="0"/>
    </w:pPr>
    <w:rPr>
      <w:rFonts w:ascii="Times New Roman Bold" w:hAnsi="Times New Roman Bold" w:cs="Helvetica"/>
      <w:b/>
      <w:bCs/>
      <w:caps/>
      <w:sz w:val="28"/>
      <w:lang w:val="en-GB" w:eastAsia="en-US"/>
    </w:rPr>
  </w:style>
  <w:style w:type="paragraph" w:styleId="Heading2">
    <w:name w:val="heading 2"/>
    <w:basedOn w:val="Normal"/>
    <w:next w:val="Normal"/>
    <w:link w:val="Heading2Char"/>
    <w:uiPriority w:val="9"/>
    <w:unhideWhenUsed/>
    <w:qFormat/>
    <w:rsid w:val="00AD48E2"/>
    <w:pPr>
      <w:spacing w:after="360"/>
      <w:jc w:val="center"/>
      <w:outlineLvl w:val="1"/>
    </w:pPr>
    <w:rPr>
      <w:rFonts w:eastAsiaTheme="majorEastAsia" w:cstheme="majorBidi"/>
      <w:bCs/>
      <w:i/>
      <w:szCs w:val="26"/>
      <w:lang w:val="en-GB" w:eastAsia="en-US"/>
    </w:rPr>
  </w:style>
  <w:style w:type="paragraph" w:styleId="Heading3">
    <w:name w:val="heading 3"/>
    <w:basedOn w:val="Normal"/>
    <w:next w:val="Normal"/>
    <w:link w:val="Heading3Char"/>
    <w:uiPriority w:val="9"/>
    <w:qFormat/>
    <w:rsid w:val="00AD48E2"/>
    <w:pPr>
      <w:keepNext/>
      <w:ind w:firstLine="284"/>
      <w:outlineLvl w:val="2"/>
    </w:pPr>
    <w:rPr>
      <w:rFonts w:ascii="Times New Roman Bold" w:hAnsi="Times New Roman Bold"/>
      <w:b/>
      <w:szCs w:val="20"/>
    </w:rPr>
  </w:style>
  <w:style w:type="paragraph" w:styleId="Heading4">
    <w:name w:val="heading 4"/>
    <w:basedOn w:val="Normal"/>
    <w:next w:val="Normal"/>
    <w:link w:val="Heading4Char"/>
    <w:uiPriority w:val="9"/>
    <w:unhideWhenUsed/>
    <w:qFormat/>
    <w:rsid w:val="00AD48E2"/>
    <w:pPr>
      <w:keepNext/>
      <w:keepLines/>
      <w:spacing w:before="200"/>
      <w:outlineLvl w:val="3"/>
    </w:pPr>
    <w:rPr>
      <w:rFonts w:asciiTheme="majorHAnsi" w:eastAsiaTheme="majorEastAsia" w:hAnsiTheme="majorHAnsi" w:cstheme="majorBidi"/>
      <w:b/>
      <w:bCs/>
      <w:i/>
      <w:iCs/>
      <w:color w:val="4F81BD" w:themeColor="accent1"/>
      <w:lang w:val="en-GB" w:eastAsia="en-US"/>
    </w:rPr>
  </w:style>
  <w:style w:type="paragraph" w:styleId="Heading5">
    <w:name w:val="heading 5"/>
    <w:basedOn w:val="Normal"/>
    <w:next w:val="Normal"/>
    <w:link w:val="Heading5Char"/>
    <w:qFormat/>
    <w:rsid w:val="00AD48E2"/>
    <w:pPr>
      <w:keepNext/>
      <w:ind w:left="720"/>
      <w:jc w:val="both"/>
      <w:outlineLvl w:val="4"/>
    </w:pPr>
    <w:rPr>
      <w:szCs w:val="20"/>
      <w:u w:val="single"/>
    </w:rPr>
  </w:style>
  <w:style w:type="paragraph" w:styleId="Heading6">
    <w:name w:val="heading 6"/>
    <w:basedOn w:val="Normal"/>
    <w:next w:val="Normal"/>
    <w:link w:val="Heading6Char"/>
    <w:uiPriority w:val="9"/>
    <w:qFormat/>
    <w:rsid w:val="00AD48E2"/>
    <w:pPr>
      <w:keepNext/>
      <w:ind w:firstLine="720"/>
      <w:jc w:val="both"/>
      <w:outlineLvl w:val="5"/>
    </w:pPr>
    <w:rPr>
      <w:b/>
      <w:i/>
      <w:szCs w:val="20"/>
    </w:rPr>
  </w:style>
  <w:style w:type="paragraph" w:styleId="Heading7">
    <w:name w:val="heading 7"/>
    <w:basedOn w:val="Normal"/>
    <w:next w:val="Normal"/>
    <w:link w:val="Heading7Char"/>
    <w:uiPriority w:val="9"/>
    <w:qFormat/>
    <w:rsid w:val="00AD48E2"/>
    <w:pPr>
      <w:keepNext/>
      <w:jc w:val="both"/>
      <w:outlineLvl w:val="6"/>
    </w:pPr>
    <w:rPr>
      <w:b/>
      <w:szCs w:val="20"/>
    </w:rPr>
  </w:style>
  <w:style w:type="paragraph" w:styleId="Heading8">
    <w:name w:val="heading 8"/>
    <w:basedOn w:val="Normal"/>
    <w:next w:val="Normal"/>
    <w:link w:val="Heading8Char"/>
    <w:qFormat/>
    <w:rsid w:val="00AD48E2"/>
    <w:pPr>
      <w:keepNext/>
      <w:ind w:left="720"/>
      <w:jc w:val="both"/>
      <w:outlineLvl w:val="7"/>
    </w:pPr>
    <w:rPr>
      <w:b/>
      <w:szCs w:val="20"/>
    </w:rPr>
  </w:style>
  <w:style w:type="paragraph" w:styleId="Heading9">
    <w:name w:val="heading 9"/>
    <w:basedOn w:val="Normal"/>
    <w:next w:val="Normal"/>
    <w:link w:val="Heading9Char"/>
    <w:uiPriority w:val="9"/>
    <w:semiHidden/>
    <w:unhideWhenUsed/>
    <w:qFormat/>
    <w:rsid w:val="00AD48E2"/>
    <w:pPr>
      <w:keepNext/>
      <w:keepLines/>
      <w:spacing w:before="40" w:line="300" w:lineRule="auto"/>
      <w:outlineLvl w:val="8"/>
    </w:pPr>
    <w:rPr>
      <w:rFonts w:asciiTheme="majorHAnsi" w:eastAsiaTheme="majorEastAsia" w:hAnsiTheme="majorHAnsi" w:cstheme="majorBidi"/>
      <w:b/>
      <w:bCs/>
      <w:i/>
      <w:iCs/>
      <w:color w:val="000000" w:themeColor="text1"/>
      <w:sz w:val="17"/>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E2"/>
    <w:rPr>
      <w:rFonts w:ascii="Times New Roman Bold" w:eastAsia="Times New Roman" w:hAnsi="Times New Roman Bold" w:cs="Helvetica"/>
      <w:b/>
      <w:bCs/>
      <w:caps/>
      <w:sz w:val="28"/>
      <w:szCs w:val="24"/>
      <w:lang w:val="en-GB"/>
    </w:rPr>
  </w:style>
  <w:style w:type="character" w:customStyle="1" w:styleId="Heading2Char">
    <w:name w:val="Heading 2 Char"/>
    <w:basedOn w:val="DefaultParagraphFont"/>
    <w:link w:val="Heading2"/>
    <w:uiPriority w:val="9"/>
    <w:rsid w:val="00AD48E2"/>
    <w:rPr>
      <w:rFonts w:ascii="Times New Roman" w:eastAsiaTheme="majorEastAsia" w:hAnsi="Times New Roman" w:cstheme="majorBidi"/>
      <w:bCs/>
      <w:i/>
      <w:sz w:val="24"/>
      <w:szCs w:val="26"/>
      <w:lang w:val="en-GB"/>
    </w:rPr>
  </w:style>
  <w:style w:type="character" w:customStyle="1" w:styleId="Heading3Char">
    <w:name w:val="Heading 3 Char"/>
    <w:basedOn w:val="DefaultParagraphFont"/>
    <w:link w:val="Heading3"/>
    <w:uiPriority w:val="9"/>
    <w:rsid w:val="00AD48E2"/>
    <w:rPr>
      <w:rFonts w:ascii="Times New Roman Bold" w:eastAsia="Times New Roman" w:hAnsi="Times New Roman Bold" w:cs="Times New Roman"/>
      <w:b/>
      <w:sz w:val="24"/>
      <w:szCs w:val="20"/>
      <w:lang w:eastAsia="bg-BG"/>
    </w:rPr>
  </w:style>
  <w:style w:type="character" w:customStyle="1" w:styleId="Heading4Char">
    <w:name w:val="Heading 4 Char"/>
    <w:basedOn w:val="DefaultParagraphFont"/>
    <w:link w:val="Heading4"/>
    <w:uiPriority w:val="9"/>
    <w:rsid w:val="00AD48E2"/>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rsid w:val="00AD48E2"/>
    <w:rPr>
      <w:rFonts w:ascii="Times New Roman" w:eastAsia="Times New Roman" w:hAnsi="Times New Roman" w:cs="Times New Roman"/>
      <w:sz w:val="24"/>
      <w:szCs w:val="20"/>
      <w:u w:val="single"/>
      <w:lang w:eastAsia="bg-BG"/>
    </w:rPr>
  </w:style>
  <w:style w:type="character" w:customStyle="1" w:styleId="Heading6Char">
    <w:name w:val="Heading 6 Char"/>
    <w:basedOn w:val="DefaultParagraphFont"/>
    <w:link w:val="Heading6"/>
    <w:uiPriority w:val="9"/>
    <w:rsid w:val="00AD48E2"/>
    <w:rPr>
      <w:rFonts w:ascii="Times New Roman" w:eastAsia="Times New Roman" w:hAnsi="Times New Roman" w:cs="Times New Roman"/>
      <w:b/>
      <w:i/>
      <w:sz w:val="24"/>
      <w:szCs w:val="20"/>
      <w:lang w:eastAsia="bg-BG"/>
    </w:rPr>
  </w:style>
  <w:style w:type="character" w:customStyle="1" w:styleId="Heading7Char">
    <w:name w:val="Heading 7 Char"/>
    <w:basedOn w:val="DefaultParagraphFont"/>
    <w:link w:val="Heading7"/>
    <w:uiPriority w:val="9"/>
    <w:rsid w:val="00AD48E2"/>
    <w:rPr>
      <w:rFonts w:ascii="Times New Roman" w:eastAsia="Times New Roman" w:hAnsi="Times New Roman" w:cs="Times New Roman"/>
      <w:b/>
      <w:sz w:val="24"/>
      <w:szCs w:val="20"/>
      <w:lang w:eastAsia="bg-BG"/>
    </w:rPr>
  </w:style>
  <w:style w:type="character" w:customStyle="1" w:styleId="Heading8Char">
    <w:name w:val="Heading 8 Char"/>
    <w:basedOn w:val="DefaultParagraphFont"/>
    <w:link w:val="Heading8"/>
    <w:rsid w:val="00AD48E2"/>
    <w:rPr>
      <w:rFonts w:ascii="Times New Roman" w:eastAsia="Times New Roman" w:hAnsi="Times New Roman" w:cs="Times New Roman"/>
      <w:b/>
      <w:sz w:val="24"/>
      <w:szCs w:val="20"/>
      <w:lang w:eastAsia="bg-BG"/>
    </w:rPr>
  </w:style>
  <w:style w:type="character" w:customStyle="1" w:styleId="Heading9Char">
    <w:name w:val="Heading 9 Char"/>
    <w:basedOn w:val="DefaultParagraphFont"/>
    <w:link w:val="Heading9"/>
    <w:uiPriority w:val="9"/>
    <w:semiHidden/>
    <w:rsid w:val="00AD48E2"/>
    <w:rPr>
      <w:rFonts w:asciiTheme="majorHAnsi" w:eastAsiaTheme="majorEastAsia" w:hAnsiTheme="majorHAnsi" w:cstheme="majorBidi"/>
      <w:b/>
      <w:bCs/>
      <w:i/>
      <w:iCs/>
      <w:color w:val="000000" w:themeColor="text1"/>
      <w:sz w:val="17"/>
      <w:szCs w:val="17"/>
      <w:lang w:val="en-US" w:eastAsia="ja-JP"/>
    </w:rPr>
  </w:style>
  <w:style w:type="paragraph" w:styleId="BalloonText">
    <w:name w:val="Balloon Text"/>
    <w:basedOn w:val="Normal"/>
    <w:link w:val="BalloonTextChar"/>
    <w:uiPriority w:val="99"/>
    <w:semiHidden/>
    <w:unhideWhenUsed/>
    <w:rsid w:val="00AD48E2"/>
    <w:rPr>
      <w:rFonts w:ascii="Tahoma" w:hAnsi="Tahoma" w:cs="Tahoma"/>
      <w:sz w:val="16"/>
      <w:szCs w:val="16"/>
    </w:rPr>
  </w:style>
  <w:style w:type="character" w:customStyle="1" w:styleId="BalloonTextChar">
    <w:name w:val="Balloon Text Char"/>
    <w:basedOn w:val="DefaultParagraphFont"/>
    <w:link w:val="BalloonText"/>
    <w:uiPriority w:val="99"/>
    <w:semiHidden/>
    <w:rsid w:val="00AD48E2"/>
    <w:rPr>
      <w:rFonts w:ascii="Tahoma" w:eastAsia="Times New Roman" w:hAnsi="Tahoma" w:cs="Tahoma"/>
      <w:sz w:val="16"/>
      <w:szCs w:val="16"/>
      <w:lang w:eastAsia="bg-BG"/>
    </w:rPr>
  </w:style>
  <w:style w:type="paragraph" w:styleId="Header">
    <w:name w:val="header"/>
    <w:basedOn w:val="Normal"/>
    <w:link w:val="HeaderChar"/>
    <w:uiPriority w:val="99"/>
    <w:unhideWhenUsed/>
    <w:rsid w:val="00AD48E2"/>
    <w:pPr>
      <w:tabs>
        <w:tab w:val="center" w:pos="4536"/>
        <w:tab w:val="right" w:pos="9072"/>
      </w:tabs>
    </w:pPr>
  </w:style>
  <w:style w:type="character" w:customStyle="1" w:styleId="HeaderChar">
    <w:name w:val="Header Char"/>
    <w:basedOn w:val="DefaultParagraphFont"/>
    <w:link w:val="Header"/>
    <w:uiPriority w:val="99"/>
    <w:rsid w:val="00AD48E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48E2"/>
    <w:pPr>
      <w:tabs>
        <w:tab w:val="center" w:pos="4536"/>
        <w:tab w:val="right" w:pos="9072"/>
      </w:tabs>
    </w:pPr>
  </w:style>
  <w:style w:type="character" w:customStyle="1" w:styleId="FooterChar">
    <w:name w:val="Footer Char"/>
    <w:basedOn w:val="DefaultParagraphFont"/>
    <w:link w:val="Footer"/>
    <w:uiPriority w:val="99"/>
    <w:rsid w:val="00AD48E2"/>
    <w:rPr>
      <w:rFonts w:ascii="Times New Roman" w:eastAsia="Times New Roman" w:hAnsi="Times New Roman" w:cs="Times New Roman"/>
      <w:sz w:val="24"/>
      <w:szCs w:val="24"/>
      <w:lang w:eastAsia="bg-BG"/>
    </w:rPr>
  </w:style>
  <w:style w:type="paragraph" w:styleId="BodyText">
    <w:name w:val="Body Text"/>
    <w:basedOn w:val="Normal"/>
    <w:link w:val="BodyTextChar"/>
    <w:rsid w:val="00AD48E2"/>
    <w:rPr>
      <w:rFonts w:ascii="Helvetica" w:hAnsi="Helvetica" w:cs="Helvetica"/>
      <w:b/>
      <w:bCs/>
      <w:color w:val="003300"/>
      <w:lang w:val="en-GB" w:eastAsia="en-US"/>
    </w:rPr>
  </w:style>
  <w:style w:type="character" w:customStyle="1" w:styleId="BodyTextChar">
    <w:name w:val="Body Text Char"/>
    <w:basedOn w:val="DefaultParagraphFont"/>
    <w:link w:val="BodyText"/>
    <w:rsid w:val="00AD48E2"/>
    <w:rPr>
      <w:rFonts w:ascii="Helvetica" w:eastAsia="Times New Roman" w:hAnsi="Helvetica" w:cs="Helvetica"/>
      <w:b/>
      <w:bCs/>
      <w:color w:val="003300"/>
      <w:sz w:val="24"/>
      <w:szCs w:val="24"/>
      <w:lang w:val="en-GB"/>
    </w:rPr>
  </w:style>
  <w:style w:type="paragraph" w:styleId="FootnoteText">
    <w:name w:val="footnote text"/>
    <w:aliases w:val="Fußnotentext arial,fn,ALTS FOOTNOTE,fn Char, Char,stile 1,Footnote1,Footnote2,Footnote3,Footnote4,Footnote5,Footnote6,Footnote7,Footnote8,Footnote9,Footnote10,Footnote11,Footnote21,Footnote31,Footnote41,Footnote51,Footnote61,Footnote71"/>
    <w:basedOn w:val="Normal"/>
    <w:link w:val="FootnoteTextChar"/>
    <w:unhideWhenUsed/>
    <w:rsid w:val="00AD48E2"/>
    <w:pPr>
      <w:ind w:firstLine="284"/>
      <w:jc w:val="both"/>
    </w:pPr>
    <w:rPr>
      <w:sz w:val="20"/>
      <w:szCs w:val="20"/>
      <w:lang w:val="en-GB" w:eastAsia="en-US"/>
    </w:rPr>
  </w:style>
  <w:style w:type="character" w:customStyle="1" w:styleId="FootnoteTextChar">
    <w:name w:val="Footnote Text Char"/>
    <w:aliases w:val="Fußnotentext arial Char,fn Char1,ALTS FOOTNOTE Char,fn Char Char, Char Char,stile 1 Char,Footnote1 Char,Footnote2 Char,Footnote3 Char,Footnote4 Char,Footnote5 Char,Footnote6 Char,Footnote7 Char,Footnote8 Char,Footnote9 Char"/>
    <w:basedOn w:val="DefaultParagraphFont"/>
    <w:link w:val="FootnoteText"/>
    <w:rsid w:val="00AD48E2"/>
    <w:rPr>
      <w:rFonts w:ascii="Times New Roman" w:eastAsia="Times New Roman" w:hAnsi="Times New Roman" w:cs="Times New Roman"/>
      <w:sz w:val="20"/>
      <w:szCs w:val="20"/>
      <w:lang w:val="en-GB"/>
    </w:rPr>
  </w:style>
  <w:style w:type="character" w:styleId="FootnoteReference">
    <w:name w:val="footnote reference"/>
    <w:aliases w:val="Footnote,Footnote symbol,Char1 Char Char Char Char, Char1 Char Char Char Char,Heading 4 Char1 Char Char,Heading 4 Char Char Char Char,Level 2 - a Char Char Char Char,Level 2 - a1 Char Char Char Char,Times 10 Point,BVI fnr"/>
    <w:basedOn w:val="DefaultParagraphFont"/>
    <w:uiPriority w:val="99"/>
    <w:unhideWhenUsed/>
    <w:rsid w:val="00AD48E2"/>
    <w:rPr>
      <w:vertAlign w:val="superscript"/>
    </w:rPr>
  </w:style>
  <w:style w:type="table" w:styleId="TableGrid">
    <w:name w:val="Table Grid"/>
    <w:basedOn w:val="TableNormal"/>
    <w:uiPriority w:val="99"/>
    <w:rsid w:val="00AD48E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D48E2"/>
    <w:rPr>
      <w:color w:val="0000FF"/>
      <w:u w:val="single"/>
    </w:rPr>
  </w:style>
  <w:style w:type="paragraph" w:styleId="ListParagraph">
    <w:name w:val="List Paragraph"/>
    <w:basedOn w:val="Normal"/>
    <w:link w:val="ListParagraphChar"/>
    <w:uiPriority w:val="34"/>
    <w:qFormat/>
    <w:rsid w:val="00AD48E2"/>
    <w:pPr>
      <w:ind w:left="720"/>
      <w:contextualSpacing/>
    </w:pPr>
    <w:rPr>
      <w:lang w:val="en-GB" w:eastAsia="en-US"/>
    </w:rPr>
  </w:style>
  <w:style w:type="paragraph" w:styleId="BodyTextIndent">
    <w:name w:val="Body Text Indent"/>
    <w:basedOn w:val="Normal"/>
    <w:link w:val="BodyTextIndentChar"/>
    <w:unhideWhenUsed/>
    <w:rsid w:val="00AD48E2"/>
    <w:pPr>
      <w:spacing w:after="120"/>
      <w:ind w:left="283"/>
    </w:pPr>
    <w:rPr>
      <w:lang w:val="en-GB" w:eastAsia="en-US"/>
    </w:rPr>
  </w:style>
  <w:style w:type="character" w:customStyle="1" w:styleId="BodyTextIndentChar">
    <w:name w:val="Body Text Indent Char"/>
    <w:basedOn w:val="DefaultParagraphFont"/>
    <w:link w:val="BodyTextIndent"/>
    <w:rsid w:val="00AD48E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AD48E2"/>
    <w:pPr>
      <w:spacing w:after="200"/>
    </w:pPr>
    <w:rPr>
      <w:rFonts w:asciiTheme="minorHAnsi" w:eastAsiaTheme="minorHAnsi" w:hAnsiTheme="minorHAnsi" w:cstheme="minorBidi"/>
      <w:i/>
      <w:iCs/>
      <w:color w:val="1F497D" w:themeColor="text2"/>
      <w:sz w:val="18"/>
      <w:szCs w:val="18"/>
      <w:lang w:val="en-US" w:eastAsia="en-US"/>
    </w:rPr>
  </w:style>
  <w:style w:type="numbering" w:customStyle="1" w:styleId="NoList1">
    <w:name w:val="No List1"/>
    <w:next w:val="NoList"/>
    <w:uiPriority w:val="99"/>
    <w:semiHidden/>
    <w:unhideWhenUsed/>
    <w:rsid w:val="00AD48E2"/>
  </w:style>
  <w:style w:type="paragraph" w:customStyle="1" w:styleId="FootnoteText1">
    <w:name w:val="Footnote Text1"/>
    <w:basedOn w:val="Normal"/>
    <w:next w:val="FootnoteText"/>
    <w:uiPriority w:val="99"/>
    <w:semiHidden/>
    <w:unhideWhenUsed/>
    <w:rsid w:val="00AD48E2"/>
    <w:rPr>
      <w:rFonts w:ascii="Verdana" w:eastAsia="Calibri" w:hAnsi="Verdana"/>
      <w:sz w:val="20"/>
      <w:szCs w:val="20"/>
    </w:rPr>
  </w:style>
  <w:style w:type="numbering" w:customStyle="1" w:styleId="NoList11">
    <w:name w:val="No List11"/>
    <w:next w:val="NoList"/>
    <w:uiPriority w:val="99"/>
    <w:semiHidden/>
    <w:unhideWhenUsed/>
    <w:rsid w:val="00AD48E2"/>
  </w:style>
  <w:style w:type="paragraph" w:customStyle="1" w:styleId="ListParagraph1">
    <w:name w:val="List Paragraph1"/>
    <w:basedOn w:val="Normal"/>
    <w:next w:val="ListParagraph"/>
    <w:uiPriority w:val="34"/>
    <w:qFormat/>
    <w:rsid w:val="00AD48E2"/>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AD48E2"/>
    <w:rPr>
      <w:color w:val="808080"/>
    </w:rPr>
  </w:style>
  <w:style w:type="paragraph" w:customStyle="1" w:styleId="a">
    <w:name w:val="Без разредка"/>
    <w:link w:val="a0"/>
    <w:uiPriority w:val="99"/>
    <w:qFormat/>
    <w:rsid w:val="00AD48E2"/>
    <w:pPr>
      <w:spacing w:after="0" w:line="240" w:lineRule="auto"/>
    </w:pPr>
    <w:rPr>
      <w:rFonts w:ascii="Calibri" w:eastAsia="Calibri" w:hAnsi="Calibri" w:cs="Calibri"/>
      <w:sz w:val="24"/>
      <w:szCs w:val="24"/>
    </w:rPr>
  </w:style>
  <w:style w:type="character" w:customStyle="1" w:styleId="a0">
    <w:name w:val="Без разредка Знак"/>
    <w:link w:val="a"/>
    <w:uiPriority w:val="99"/>
    <w:locked/>
    <w:rsid w:val="00AD48E2"/>
    <w:rPr>
      <w:rFonts w:ascii="Calibri" w:eastAsia="Calibri" w:hAnsi="Calibri" w:cs="Calibri"/>
      <w:sz w:val="24"/>
      <w:szCs w:val="24"/>
    </w:rPr>
  </w:style>
  <w:style w:type="paragraph" w:customStyle="1" w:styleId="BalloonText1">
    <w:name w:val="Balloon Text1"/>
    <w:basedOn w:val="Normal"/>
    <w:next w:val="BalloonText"/>
    <w:uiPriority w:val="99"/>
    <w:semiHidden/>
    <w:unhideWhenUsed/>
    <w:rsid w:val="00AD48E2"/>
    <w:rPr>
      <w:rFonts w:ascii="Tahoma" w:eastAsia="Calibri" w:hAnsi="Tahoma" w:cs="Tahoma"/>
      <w:sz w:val="16"/>
      <w:szCs w:val="16"/>
      <w:lang w:eastAsia="en-US"/>
    </w:rPr>
  </w:style>
  <w:style w:type="paragraph" w:customStyle="1" w:styleId="BalloonText2">
    <w:name w:val="Balloon Text2"/>
    <w:basedOn w:val="Normal"/>
    <w:next w:val="BalloonText"/>
    <w:link w:val="BalloonTextChar1"/>
    <w:uiPriority w:val="99"/>
    <w:semiHidden/>
    <w:unhideWhenUsed/>
    <w:rsid w:val="00AD48E2"/>
    <w:rPr>
      <w:rFonts w:ascii="Tahoma" w:eastAsia="Calibri" w:hAnsi="Tahoma" w:cs="Tahoma"/>
      <w:sz w:val="16"/>
      <w:szCs w:val="16"/>
    </w:rPr>
  </w:style>
  <w:style w:type="character" w:customStyle="1" w:styleId="BalloonTextChar1">
    <w:name w:val="Balloon Text Char1"/>
    <w:link w:val="BalloonText2"/>
    <w:uiPriority w:val="99"/>
    <w:semiHidden/>
    <w:rsid w:val="00AD48E2"/>
    <w:rPr>
      <w:rFonts w:ascii="Tahoma" w:eastAsia="Calibri" w:hAnsi="Tahoma" w:cs="Tahoma"/>
      <w:sz w:val="16"/>
      <w:szCs w:val="16"/>
      <w:lang w:eastAsia="bg-BG"/>
    </w:rPr>
  </w:style>
  <w:style w:type="character" w:customStyle="1" w:styleId="FootnoteTextChar1">
    <w:name w:val="Footnote Text Char1"/>
    <w:rsid w:val="00AD48E2"/>
    <w:rPr>
      <w:color w:val="555555"/>
      <w:lang w:eastAsia="en-US"/>
    </w:rPr>
  </w:style>
  <w:style w:type="character" w:customStyle="1" w:styleId="BalloonTextChar2">
    <w:name w:val="Balloon Text Char2"/>
    <w:uiPriority w:val="99"/>
    <w:semiHidden/>
    <w:rsid w:val="00AD48E2"/>
    <w:rPr>
      <w:rFonts w:ascii="Segoe UI" w:hAnsi="Segoe UI" w:cs="Segoe UI"/>
      <w:color w:val="555555"/>
      <w:sz w:val="18"/>
      <w:szCs w:val="18"/>
      <w:lang w:eastAsia="en-US"/>
    </w:rPr>
  </w:style>
  <w:style w:type="paragraph" w:customStyle="1" w:styleId="Default">
    <w:name w:val="Default"/>
    <w:rsid w:val="00AD48E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AD48E2"/>
  </w:style>
  <w:style w:type="paragraph" w:styleId="NormalWeb">
    <w:name w:val="Normal (Web)"/>
    <w:basedOn w:val="Normal"/>
    <w:uiPriority w:val="99"/>
    <w:unhideWhenUsed/>
    <w:rsid w:val="00AD48E2"/>
    <w:pPr>
      <w:spacing w:before="100" w:beforeAutospacing="1" w:after="100" w:afterAutospacing="1"/>
    </w:pPr>
  </w:style>
  <w:style w:type="character" w:styleId="Emphasis">
    <w:name w:val="Emphasis"/>
    <w:basedOn w:val="DefaultParagraphFont"/>
    <w:uiPriority w:val="20"/>
    <w:qFormat/>
    <w:rsid w:val="00AD48E2"/>
    <w:rPr>
      <w:i/>
      <w:iCs/>
    </w:rPr>
  </w:style>
  <w:style w:type="character" w:styleId="HTMLCite">
    <w:name w:val="HTML Cite"/>
    <w:uiPriority w:val="99"/>
    <w:rsid w:val="00AD48E2"/>
    <w:rPr>
      <w:i w:val="0"/>
      <w:iCs w:val="0"/>
      <w:color w:val="006621"/>
    </w:rPr>
  </w:style>
  <w:style w:type="paragraph" w:customStyle="1" w:styleId="Char">
    <w:name w:val="Char"/>
    <w:basedOn w:val="Normal"/>
    <w:rsid w:val="00AD48E2"/>
    <w:pPr>
      <w:tabs>
        <w:tab w:val="left" w:pos="709"/>
      </w:tabs>
    </w:pPr>
    <w:rPr>
      <w:rFonts w:ascii="Tahoma" w:hAnsi="Tahoma"/>
      <w:lang w:val="pl-PL" w:eastAsia="pl-PL"/>
    </w:rPr>
  </w:style>
  <w:style w:type="character" w:styleId="PageNumber">
    <w:name w:val="page number"/>
    <w:basedOn w:val="DefaultParagraphFont"/>
    <w:rsid w:val="00AD48E2"/>
  </w:style>
  <w:style w:type="paragraph" w:styleId="BodyTextIndent2">
    <w:name w:val="Body Text Indent 2"/>
    <w:basedOn w:val="Normal"/>
    <w:link w:val="BodyTextIndent2Char"/>
    <w:unhideWhenUsed/>
    <w:rsid w:val="00AD48E2"/>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AD48E2"/>
    <w:rPr>
      <w:rFonts w:ascii="Times New Roman" w:eastAsia="Times New Roman" w:hAnsi="Times New Roman" w:cs="Times New Roman"/>
      <w:sz w:val="24"/>
      <w:szCs w:val="24"/>
      <w:lang w:val="en-GB"/>
    </w:rPr>
  </w:style>
  <w:style w:type="paragraph" w:styleId="DocumentMap">
    <w:name w:val="Document Map"/>
    <w:basedOn w:val="Normal"/>
    <w:link w:val="DocumentMapChar"/>
    <w:semiHidden/>
    <w:rsid w:val="00AD48E2"/>
    <w:pPr>
      <w:shd w:val="clear" w:color="auto" w:fill="000080"/>
    </w:pPr>
    <w:rPr>
      <w:rFonts w:ascii="Tahoma" w:eastAsia="MS Mincho" w:hAnsi="Tahoma" w:cs="Tahoma"/>
      <w:lang w:eastAsia="ja-JP"/>
    </w:rPr>
  </w:style>
  <w:style w:type="character" w:customStyle="1" w:styleId="DocumentMapChar">
    <w:name w:val="Document Map Char"/>
    <w:basedOn w:val="DefaultParagraphFont"/>
    <w:link w:val="DocumentMap"/>
    <w:semiHidden/>
    <w:rsid w:val="00AD48E2"/>
    <w:rPr>
      <w:rFonts w:ascii="Tahoma" w:eastAsia="MS Mincho" w:hAnsi="Tahoma" w:cs="Tahoma"/>
      <w:sz w:val="24"/>
      <w:szCs w:val="24"/>
      <w:shd w:val="clear" w:color="auto" w:fill="000080"/>
      <w:lang w:eastAsia="ja-JP"/>
    </w:rPr>
  </w:style>
  <w:style w:type="paragraph" w:styleId="BodyTextIndent3">
    <w:name w:val="Body Text Indent 3"/>
    <w:basedOn w:val="Normal"/>
    <w:link w:val="BodyTextIndent3Char"/>
    <w:rsid w:val="00AD48E2"/>
    <w:pPr>
      <w:ind w:firstLine="720"/>
      <w:jc w:val="both"/>
    </w:pPr>
    <w:rPr>
      <w:szCs w:val="20"/>
      <w:u w:val="single"/>
    </w:rPr>
  </w:style>
  <w:style w:type="character" w:customStyle="1" w:styleId="BodyTextIndent3Char">
    <w:name w:val="Body Text Indent 3 Char"/>
    <w:basedOn w:val="DefaultParagraphFont"/>
    <w:link w:val="BodyTextIndent3"/>
    <w:rsid w:val="00AD48E2"/>
    <w:rPr>
      <w:rFonts w:ascii="Times New Roman" w:eastAsia="Times New Roman" w:hAnsi="Times New Roman" w:cs="Times New Roman"/>
      <w:sz w:val="24"/>
      <w:szCs w:val="20"/>
      <w:u w:val="single"/>
      <w:lang w:eastAsia="bg-BG"/>
    </w:rPr>
  </w:style>
  <w:style w:type="character" w:customStyle="1" w:styleId="apple-style-span">
    <w:name w:val="apple-style-span"/>
    <w:basedOn w:val="DefaultParagraphFont"/>
    <w:rsid w:val="00AD48E2"/>
  </w:style>
  <w:style w:type="table" w:styleId="LightList-Accent1">
    <w:name w:val="Light List Accent 1"/>
    <w:basedOn w:val="TableNormal"/>
    <w:uiPriority w:val="61"/>
    <w:rsid w:val="00AD48E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D48E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rsid w:val="00AD48E2"/>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US"/>
    </w:rPr>
  </w:style>
  <w:style w:type="paragraph" w:customStyle="1" w:styleId="berschrift1">
    <w:name w:val="Überschrift 1"/>
    <w:rsid w:val="00AD48E2"/>
    <w:pPr>
      <w:keepNext/>
      <w:pBdr>
        <w:top w:val="nil"/>
        <w:left w:val="nil"/>
        <w:bottom w:val="nil"/>
        <w:right w:val="nil"/>
        <w:between w:val="nil"/>
        <w:bar w:val="nil"/>
      </w:pBdr>
      <w:spacing w:after="0" w:line="240" w:lineRule="auto"/>
      <w:jc w:val="right"/>
      <w:outlineLvl w:val="0"/>
    </w:pPr>
    <w:rPr>
      <w:rFonts w:ascii="Times New Roman Bold" w:eastAsia="Arial Unicode MS" w:hAnsi="Arial Unicode MS" w:cs="Arial Unicode MS"/>
      <w:color w:val="000000"/>
      <w:sz w:val="28"/>
      <w:szCs w:val="28"/>
      <w:u w:color="000000"/>
      <w:bdr w:val="nil"/>
      <w:lang w:val="en-US"/>
    </w:rPr>
  </w:style>
  <w:style w:type="paragraph" w:customStyle="1" w:styleId="Standard">
    <w:name w:val="Standard"/>
    <w:rsid w:val="00AD48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numbering" w:customStyle="1" w:styleId="List0">
    <w:name w:val="List 0"/>
    <w:basedOn w:val="Bullet"/>
    <w:rsid w:val="00AD48E2"/>
    <w:pPr>
      <w:numPr>
        <w:numId w:val="1"/>
      </w:numPr>
    </w:pPr>
  </w:style>
  <w:style w:type="numbering" w:customStyle="1" w:styleId="Bullet">
    <w:name w:val="Bullet"/>
    <w:rsid w:val="00AD48E2"/>
    <w:pPr>
      <w:numPr>
        <w:numId w:val="2"/>
      </w:numPr>
    </w:pPr>
  </w:style>
  <w:style w:type="paragraph" w:customStyle="1" w:styleId="Funotentext">
    <w:name w:val="Fußnotentext"/>
    <w:rsid w:val="00AD48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numbering" w:customStyle="1" w:styleId="List1">
    <w:name w:val="List 1"/>
    <w:basedOn w:val="Bullet"/>
    <w:rsid w:val="00AD48E2"/>
    <w:pPr>
      <w:numPr>
        <w:numId w:val="3"/>
      </w:numPr>
    </w:pPr>
  </w:style>
  <w:style w:type="character" w:customStyle="1" w:styleId="Link">
    <w:name w:val="Link"/>
    <w:rsid w:val="00AD48E2"/>
    <w:rPr>
      <w:u w:val="single"/>
    </w:rPr>
  </w:style>
  <w:style w:type="character" w:customStyle="1" w:styleId="Hyperlink0">
    <w:name w:val="Hyperlink.0"/>
    <w:basedOn w:val="Link"/>
    <w:rsid w:val="00AD48E2"/>
    <w:rPr>
      <w:sz w:val="24"/>
      <w:szCs w:val="24"/>
      <w:u w:val="single"/>
    </w:rPr>
  </w:style>
  <w:style w:type="numbering" w:customStyle="1" w:styleId="List21">
    <w:name w:val="List 21"/>
    <w:basedOn w:val="NoList"/>
    <w:rsid w:val="00AD48E2"/>
    <w:pPr>
      <w:numPr>
        <w:numId w:val="4"/>
      </w:numPr>
    </w:pPr>
  </w:style>
  <w:style w:type="paragraph" w:customStyle="1" w:styleId="TableStyle2">
    <w:name w:val="Table Style 2"/>
    <w:rsid w:val="00AD48E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Hyperlink1">
    <w:name w:val="Hyperlink.1"/>
    <w:basedOn w:val="Link"/>
    <w:rsid w:val="00AD48E2"/>
    <w:rPr>
      <w:u w:val="none"/>
    </w:rPr>
  </w:style>
  <w:style w:type="paragraph" w:customStyle="1" w:styleId="Heading">
    <w:name w:val="Heading"/>
    <w:next w:val="Body"/>
    <w:rsid w:val="00AD48E2"/>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val="en-US"/>
    </w:rPr>
  </w:style>
  <w:style w:type="numbering" w:customStyle="1" w:styleId="List31">
    <w:name w:val="List 31"/>
    <w:basedOn w:val="NoList"/>
    <w:rsid w:val="00AD48E2"/>
    <w:pPr>
      <w:numPr>
        <w:numId w:val="9"/>
      </w:numPr>
    </w:pPr>
  </w:style>
  <w:style w:type="paragraph" w:customStyle="1" w:styleId="a1">
    <w:name w:val="Грофика"/>
    <w:rsid w:val="00AD48E2"/>
    <w:pPr>
      <w:pBdr>
        <w:top w:val="nil"/>
        <w:left w:val="nil"/>
        <w:bottom w:val="nil"/>
        <w:right w:val="nil"/>
        <w:between w:val="nil"/>
        <w:bar w:val="nil"/>
      </w:pBdr>
      <w:spacing w:before="80" w:after="80" w:line="240" w:lineRule="auto"/>
      <w:jc w:val="center"/>
    </w:pPr>
    <w:rPr>
      <w:rFonts w:ascii="Arial Unicode MS" w:eastAsia="Arial Unicode MS" w:hAnsi="Times New Roman" w:cs="Arial Unicode MS"/>
      <w:i/>
      <w:iCs/>
      <w:color w:val="000000"/>
      <w:bdr w:val="nil"/>
      <w:lang w:val="en-US"/>
    </w:rPr>
  </w:style>
  <w:style w:type="numbering" w:customStyle="1" w:styleId="List41">
    <w:name w:val="List 41"/>
    <w:basedOn w:val="Numbered"/>
    <w:rsid w:val="00AD48E2"/>
    <w:pPr>
      <w:numPr>
        <w:numId w:val="5"/>
      </w:numPr>
    </w:pPr>
  </w:style>
  <w:style w:type="numbering" w:customStyle="1" w:styleId="Numbered">
    <w:name w:val="Numbered"/>
    <w:rsid w:val="00AD48E2"/>
    <w:pPr>
      <w:numPr>
        <w:numId w:val="6"/>
      </w:numPr>
    </w:pPr>
  </w:style>
  <w:style w:type="numbering" w:customStyle="1" w:styleId="List51">
    <w:name w:val="List 51"/>
    <w:basedOn w:val="Numbered"/>
    <w:rsid w:val="00AD48E2"/>
    <w:pPr>
      <w:numPr>
        <w:numId w:val="8"/>
      </w:numPr>
    </w:pPr>
  </w:style>
  <w:style w:type="character" w:customStyle="1" w:styleId="hps">
    <w:name w:val="hps"/>
    <w:rsid w:val="00AD48E2"/>
  </w:style>
  <w:style w:type="character" w:customStyle="1" w:styleId="shorttext">
    <w:name w:val="short_text"/>
    <w:rsid w:val="00AD48E2"/>
  </w:style>
  <w:style w:type="character" w:customStyle="1" w:styleId="st">
    <w:name w:val="st"/>
    <w:basedOn w:val="DefaultParagraphFont"/>
    <w:rsid w:val="00AD48E2"/>
  </w:style>
  <w:style w:type="paragraph" w:customStyle="1" w:styleId="NormalJustified">
    <w:name w:val="Normal + Justified"/>
    <w:aliases w:val="Before:  6 pt"/>
    <w:basedOn w:val="NormalWeb"/>
    <w:rsid w:val="00AD48E2"/>
    <w:pPr>
      <w:spacing w:before="120" w:beforeAutospacing="0" w:after="0" w:afterAutospacing="0" w:line="360" w:lineRule="auto"/>
      <w:jc w:val="center"/>
    </w:pPr>
    <w:rPr>
      <w:sz w:val="28"/>
      <w:szCs w:val="28"/>
    </w:rPr>
  </w:style>
  <w:style w:type="character" w:styleId="BookTitle">
    <w:name w:val="Book Title"/>
    <w:basedOn w:val="DefaultParagraphFont"/>
    <w:uiPriority w:val="33"/>
    <w:qFormat/>
    <w:rsid w:val="00AD48E2"/>
    <w:rPr>
      <w:b/>
      <w:bCs/>
      <w:caps w:val="0"/>
      <w:smallCaps/>
      <w:spacing w:val="10"/>
    </w:rPr>
  </w:style>
  <w:style w:type="character" w:styleId="IntenseEmphasis">
    <w:name w:val="Intense Emphasis"/>
    <w:basedOn w:val="DefaultParagraphFont"/>
    <w:uiPriority w:val="21"/>
    <w:qFormat/>
    <w:rsid w:val="00AD48E2"/>
    <w:rPr>
      <w:b/>
      <w:bCs/>
      <w:i/>
      <w:iCs/>
      <w:color w:val="auto"/>
    </w:rPr>
  </w:style>
  <w:style w:type="paragraph" w:styleId="IntenseQuote">
    <w:name w:val="Intense Quote"/>
    <w:basedOn w:val="Normal"/>
    <w:next w:val="Normal"/>
    <w:link w:val="IntenseQuoteChar"/>
    <w:uiPriority w:val="30"/>
    <w:qFormat/>
    <w:rsid w:val="00AD48E2"/>
    <w:pPr>
      <w:pBdr>
        <w:left w:val="single" w:sz="36" w:space="4" w:color="4F81BD" w:themeColor="accent1"/>
      </w:pBdr>
      <w:spacing w:before="100" w:beforeAutospacing="1" w:after="160" w:line="300" w:lineRule="auto"/>
      <w:ind w:left="1224" w:right="1224"/>
    </w:pPr>
    <w:rPr>
      <w:rFonts w:asciiTheme="minorHAnsi" w:eastAsiaTheme="minorEastAsia" w:hAnsiTheme="minorHAnsi" w:cstheme="minorBidi"/>
      <w:color w:val="4F81BD" w:themeColor="accent1"/>
      <w:sz w:val="28"/>
      <w:szCs w:val="28"/>
      <w:lang w:val="en-US" w:eastAsia="ja-JP"/>
    </w:rPr>
  </w:style>
  <w:style w:type="character" w:customStyle="1" w:styleId="IntenseQuoteChar">
    <w:name w:val="Intense Quote Char"/>
    <w:basedOn w:val="DefaultParagraphFont"/>
    <w:link w:val="IntenseQuote"/>
    <w:uiPriority w:val="30"/>
    <w:rsid w:val="00AD48E2"/>
    <w:rPr>
      <w:rFonts w:eastAsiaTheme="minorEastAsia"/>
      <w:color w:val="4F81BD" w:themeColor="accent1"/>
      <w:sz w:val="28"/>
      <w:szCs w:val="28"/>
      <w:lang w:val="en-US" w:eastAsia="ja-JP"/>
    </w:rPr>
  </w:style>
  <w:style w:type="character" w:styleId="IntenseReference">
    <w:name w:val="Intense Reference"/>
    <w:basedOn w:val="DefaultParagraphFont"/>
    <w:uiPriority w:val="32"/>
    <w:qFormat/>
    <w:rsid w:val="00AD48E2"/>
    <w:rPr>
      <w:b/>
      <w:bCs/>
      <w:caps w:val="0"/>
      <w:smallCaps/>
      <w:color w:val="auto"/>
      <w:spacing w:val="5"/>
      <w:u w:val="single"/>
    </w:rPr>
  </w:style>
  <w:style w:type="character" w:styleId="FollowedHyperlink">
    <w:name w:val="FollowedHyperlink"/>
    <w:basedOn w:val="DefaultParagraphFont"/>
    <w:unhideWhenUsed/>
    <w:rsid w:val="00AD48E2"/>
    <w:rPr>
      <w:color w:val="800080" w:themeColor="followedHyperlink"/>
      <w:u w:val="single"/>
    </w:rPr>
  </w:style>
  <w:style w:type="paragraph" w:styleId="NoSpacing">
    <w:name w:val="No Spacing"/>
    <w:link w:val="NoSpacingChar"/>
    <w:uiPriority w:val="1"/>
    <w:qFormat/>
    <w:rsid w:val="00AD48E2"/>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AD48E2"/>
    <w:rPr>
      <w:rFonts w:eastAsiaTheme="minorEastAsia"/>
      <w:sz w:val="17"/>
      <w:szCs w:val="17"/>
      <w:lang w:val="en-US" w:eastAsia="ja-JP"/>
    </w:rPr>
  </w:style>
  <w:style w:type="paragraph" w:styleId="Quote">
    <w:name w:val="Quote"/>
    <w:basedOn w:val="Normal"/>
    <w:next w:val="Normal"/>
    <w:link w:val="QuoteChar"/>
    <w:uiPriority w:val="29"/>
    <w:qFormat/>
    <w:rsid w:val="00AD48E2"/>
    <w:pPr>
      <w:spacing w:before="160" w:after="160" w:line="300" w:lineRule="auto"/>
      <w:ind w:left="864" w:right="864"/>
    </w:pPr>
    <w:rPr>
      <w:rFonts w:asciiTheme="majorHAnsi" w:eastAsiaTheme="majorEastAsia" w:hAnsiTheme="majorHAnsi" w:cstheme="majorBidi"/>
      <w:sz w:val="17"/>
      <w:szCs w:val="17"/>
      <w:lang w:val="en-US" w:eastAsia="ja-JP"/>
    </w:rPr>
  </w:style>
  <w:style w:type="character" w:customStyle="1" w:styleId="QuoteChar">
    <w:name w:val="Quote Char"/>
    <w:basedOn w:val="DefaultParagraphFont"/>
    <w:link w:val="Quote"/>
    <w:uiPriority w:val="29"/>
    <w:rsid w:val="00AD48E2"/>
    <w:rPr>
      <w:rFonts w:asciiTheme="majorHAnsi" w:eastAsiaTheme="majorEastAsia" w:hAnsiTheme="majorHAnsi" w:cstheme="majorBidi"/>
      <w:sz w:val="17"/>
      <w:szCs w:val="17"/>
      <w:lang w:val="en-US" w:eastAsia="ja-JP"/>
    </w:rPr>
  </w:style>
  <w:style w:type="character" w:styleId="Strong">
    <w:name w:val="Strong"/>
    <w:basedOn w:val="DefaultParagraphFont"/>
    <w:uiPriority w:val="22"/>
    <w:qFormat/>
    <w:rsid w:val="00AD48E2"/>
    <w:rPr>
      <w:b/>
      <w:bCs/>
    </w:rPr>
  </w:style>
  <w:style w:type="paragraph" w:styleId="Subtitle">
    <w:name w:val="Subtitle"/>
    <w:basedOn w:val="Normal"/>
    <w:next w:val="Normal"/>
    <w:link w:val="SubtitleChar"/>
    <w:uiPriority w:val="11"/>
    <w:qFormat/>
    <w:rsid w:val="00AD48E2"/>
    <w:pPr>
      <w:numPr>
        <w:ilvl w:val="1"/>
      </w:numPr>
      <w:spacing w:after="160" w:line="300" w:lineRule="auto"/>
    </w:pPr>
    <w:rPr>
      <w:rFonts w:asciiTheme="minorHAnsi" w:eastAsiaTheme="minorEastAsia" w:hAnsiTheme="minorHAnsi" w:cstheme="minorBidi"/>
      <w:sz w:val="28"/>
      <w:szCs w:val="28"/>
      <w:lang w:val="en-US" w:eastAsia="ja-JP"/>
    </w:rPr>
  </w:style>
  <w:style w:type="character" w:customStyle="1" w:styleId="SubtitleChar">
    <w:name w:val="Subtitle Char"/>
    <w:basedOn w:val="DefaultParagraphFont"/>
    <w:link w:val="Subtitle"/>
    <w:uiPriority w:val="11"/>
    <w:rsid w:val="00AD48E2"/>
    <w:rPr>
      <w:rFonts w:eastAsiaTheme="minorEastAsia"/>
      <w:sz w:val="28"/>
      <w:szCs w:val="28"/>
      <w:lang w:val="en-US" w:eastAsia="ja-JP"/>
    </w:rPr>
  </w:style>
  <w:style w:type="character" w:styleId="SubtleEmphasis">
    <w:name w:val="Subtle Emphasis"/>
    <w:basedOn w:val="DefaultParagraphFont"/>
    <w:uiPriority w:val="19"/>
    <w:qFormat/>
    <w:rsid w:val="00AD48E2"/>
    <w:rPr>
      <w:i/>
      <w:iCs/>
      <w:color w:val="595959" w:themeColor="text1" w:themeTint="A6"/>
    </w:rPr>
  </w:style>
  <w:style w:type="character" w:styleId="SubtleReference">
    <w:name w:val="Subtle Reference"/>
    <w:basedOn w:val="DefaultParagraphFont"/>
    <w:uiPriority w:val="31"/>
    <w:qFormat/>
    <w:rsid w:val="00AD48E2"/>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AD48E2"/>
    <w:pPr>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TitleChar">
    <w:name w:val="Title Char"/>
    <w:basedOn w:val="DefaultParagraphFont"/>
    <w:link w:val="Title"/>
    <w:uiPriority w:val="10"/>
    <w:rsid w:val="00AD48E2"/>
    <w:rPr>
      <w:rFonts w:asciiTheme="majorHAnsi" w:eastAsiaTheme="majorEastAsia" w:hAnsiTheme="majorHAnsi" w:cstheme="majorBidi"/>
      <w:color w:val="4F81BD" w:themeColor="accent1"/>
      <w:kern w:val="28"/>
      <w:sz w:val="72"/>
      <w:szCs w:val="72"/>
      <w:lang w:val="en-US" w:eastAsia="ja-JP"/>
    </w:rPr>
  </w:style>
  <w:style w:type="character" w:customStyle="1" w:styleId="purchaseprice">
    <w:name w:val="purchaseprice"/>
    <w:basedOn w:val="DefaultParagraphFont"/>
    <w:rsid w:val="00AD48E2"/>
  </w:style>
  <w:style w:type="paragraph" w:customStyle="1" w:styleId="a2">
    <w:name w:val="сергей"/>
    <w:basedOn w:val="Normal"/>
    <w:rsid w:val="00AD48E2"/>
    <w:pPr>
      <w:autoSpaceDE w:val="0"/>
      <w:autoSpaceDN w:val="0"/>
      <w:spacing w:line="480" w:lineRule="auto"/>
      <w:ind w:firstLine="709"/>
      <w:jc w:val="both"/>
    </w:pPr>
    <w:rPr>
      <w:rFonts w:ascii="Arial" w:hAnsi="Arial" w:cs="Arial"/>
      <w:sz w:val="26"/>
      <w:szCs w:val="26"/>
      <w:lang w:val="ru-RU" w:eastAsia="en-US"/>
    </w:rPr>
  </w:style>
  <w:style w:type="character" w:customStyle="1" w:styleId="tt1">
    <w:name w:val="tt1"/>
    <w:basedOn w:val="DefaultParagraphFont"/>
    <w:rsid w:val="00AD48E2"/>
    <w:rPr>
      <w:rFonts w:ascii="Verdana" w:hAnsi="Verdana" w:hint="default"/>
      <w:b w:val="0"/>
      <w:bCs w:val="0"/>
      <w:strike w:val="0"/>
      <w:dstrike w:val="0"/>
      <w:color w:val="000000"/>
      <w:sz w:val="17"/>
      <w:szCs w:val="17"/>
      <w:u w:val="none"/>
      <w:effect w:val="none"/>
    </w:rPr>
  </w:style>
  <w:style w:type="character" w:customStyle="1" w:styleId="itemtitle">
    <w:name w:val="itemtitle"/>
    <w:basedOn w:val="DefaultParagraphFont"/>
    <w:rsid w:val="00AD48E2"/>
  </w:style>
  <w:style w:type="character" w:customStyle="1" w:styleId="itemposter">
    <w:name w:val="itemposter"/>
    <w:basedOn w:val="DefaultParagraphFont"/>
    <w:rsid w:val="00AD48E2"/>
  </w:style>
  <w:style w:type="character" w:customStyle="1" w:styleId="itempostdate">
    <w:name w:val="itempostdate"/>
    <w:basedOn w:val="DefaultParagraphFont"/>
    <w:rsid w:val="00AD48E2"/>
  </w:style>
  <w:style w:type="paragraph" w:customStyle="1" w:styleId="itemtext">
    <w:name w:val="itemtext"/>
    <w:basedOn w:val="Normal"/>
    <w:rsid w:val="00AD48E2"/>
    <w:pPr>
      <w:spacing w:before="100" w:beforeAutospacing="1" w:after="100" w:afterAutospacing="1"/>
    </w:pPr>
  </w:style>
  <w:style w:type="character" w:customStyle="1" w:styleId="mw-headline">
    <w:name w:val="mw-headline"/>
    <w:basedOn w:val="DefaultParagraphFont"/>
    <w:rsid w:val="00AD48E2"/>
  </w:style>
  <w:style w:type="paragraph" w:styleId="HTMLPreformatted">
    <w:name w:val="HTML Preformatted"/>
    <w:basedOn w:val="Normal"/>
    <w:link w:val="HTMLPreformattedChar"/>
    <w:rsid w:val="00AD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AD48E2"/>
    <w:rPr>
      <w:rFonts w:ascii="Courier New" w:eastAsia="Batang" w:hAnsi="Courier New" w:cs="Courier New"/>
      <w:sz w:val="20"/>
      <w:szCs w:val="20"/>
      <w:lang w:eastAsia="ko-KR"/>
    </w:rPr>
  </w:style>
  <w:style w:type="character" w:customStyle="1" w:styleId="editsection">
    <w:name w:val="editsection"/>
    <w:basedOn w:val="DefaultParagraphFont"/>
    <w:rsid w:val="00AD48E2"/>
  </w:style>
  <w:style w:type="paragraph" w:customStyle="1" w:styleId="DefinitionTerm">
    <w:name w:val="Definition Term"/>
    <w:basedOn w:val="Normal"/>
    <w:next w:val="Normal"/>
    <w:rsid w:val="00AD48E2"/>
    <w:pPr>
      <w:overflowPunct w:val="0"/>
      <w:autoSpaceDE w:val="0"/>
      <w:autoSpaceDN w:val="0"/>
      <w:adjustRightInd w:val="0"/>
      <w:textAlignment w:val="baseline"/>
    </w:pPr>
    <w:rPr>
      <w:szCs w:val="20"/>
      <w:lang w:val="ru-RU" w:eastAsia="uk-UA"/>
    </w:rPr>
  </w:style>
  <w:style w:type="paragraph" w:customStyle="1" w:styleId="a3">
    <w:name w:val="......."/>
    <w:basedOn w:val="Default"/>
    <w:next w:val="Default"/>
    <w:rsid w:val="00AD48E2"/>
    <w:rPr>
      <w:rFonts w:ascii="Times New Roman" w:eastAsia="Batang" w:hAnsi="Times New Roman" w:cs="Times New Roman"/>
      <w:color w:val="auto"/>
      <w:lang w:eastAsia="ko-KR"/>
    </w:rPr>
  </w:style>
  <w:style w:type="character" w:customStyle="1" w:styleId="librios-ddef">
    <w:name w:val="librios-ddef"/>
    <w:basedOn w:val="DefaultParagraphFont"/>
    <w:rsid w:val="00AD48E2"/>
  </w:style>
  <w:style w:type="character" w:customStyle="1" w:styleId="nlmsource">
    <w:name w:val="nlm_source"/>
    <w:basedOn w:val="DefaultParagraphFont"/>
    <w:rsid w:val="00AD48E2"/>
  </w:style>
  <w:style w:type="paragraph" w:customStyle="1" w:styleId="heading5indent2">
    <w:name w:val="heading5indent2"/>
    <w:basedOn w:val="Normal"/>
    <w:rsid w:val="00AD48E2"/>
    <w:pPr>
      <w:spacing w:before="100" w:beforeAutospacing="1" w:after="100" w:afterAutospacing="1"/>
    </w:pPr>
    <w:rPr>
      <w:rFonts w:eastAsia="SimSun"/>
      <w:lang w:eastAsia="zh-CN"/>
    </w:rPr>
  </w:style>
  <w:style w:type="paragraph" w:customStyle="1" w:styleId="handbookg">
    <w:name w:val="handbookg"/>
    <w:basedOn w:val="Normal"/>
    <w:rsid w:val="00AD48E2"/>
    <w:pPr>
      <w:spacing w:before="100" w:beforeAutospacing="1" w:after="100" w:afterAutospacing="1"/>
    </w:pPr>
    <w:rPr>
      <w:rFonts w:eastAsia="SimSun"/>
      <w:lang w:eastAsia="zh-CN"/>
    </w:rPr>
  </w:style>
  <w:style w:type="paragraph" w:customStyle="1" w:styleId="handbookg1stindent">
    <w:name w:val="handbookg1stindent"/>
    <w:basedOn w:val="Normal"/>
    <w:rsid w:val="00AD48E2"/>
    <w:pPr>
      <w:spacing w:before="100" w:beforeAutospacing="1" w:after="100" w:afterAutospacing="1"/>
    </w:pPr>
    <w:rPr>
      <w:rFonts w:eastAsia="SimSun"/>
      <w:lang w:eastAsia="zh-CN"/>
    </w:rPr>
  </w:style>
  <w:style w:type="paragraph" w:customStyle="1" w:styleId="notesindent4">
    <w:name w:val="notesindent4"/>
    <w:basedOn w:val="Normal"/>
    <w:rsid w:val="00AD48E2"/>
    <w:pPr>
      <w:spacing w:before="100" w:beforeAutospacing="1" w:after="100" w:afterAutospacing="1"/>
    </w:pPr>
    <w:rPr>
      <w:rFonts w:eastAsia="SimSun"/>
      <w:lang w:eastAsia="zh-CN"/>
    </w:rPr>
  </w:style>
  <w:style w:type="paragraph" w:customStyle="1" w:styleId="para">
    <w:name w:val="para"/>
    <w:basedOn w:val="Normal"/>
    <w:rsid w:val="00AD48E2"/>
    <w:pPr>
      <w:spacing w:before="100" w:beforeAutospacing="1" w:after="100" w:afterAutospacing="1"/>
    </w:pPr>
    <w:rPr>
      <w:rFonts w:eastAsia="SimSun"/>
      <w:lang w:eastAsia="zh-CN"/>
    </w:rPr>
  </w:style>
  <w:style w:type="character" w:customStyle="1" w:styleId="reference-accessdate">
    <w:name w:val="reference-accessdate"/>
    <w:basedOn w:val="DefaultParagraphFont"/>
    <w:rsid w:val="00AD48E2"/>
  </w:style>
  <w:style w:type="character" w:customStyle="1" w:styleId="postbody1">
    <w:name w:val="postbody1"/>
    <w:basedOn w:val="DefaultParagraphFont"/>
    <w:rsid w:val="00AD48E2"/>
    <w:rPr>
      <w:sz w:val="18"/>
      <w:szCs w:val="18"/>
    </w:rPr>
  </w:style>
  <w:style w:type="paragraph" w:customStyle="1" w:styleId="authorgroup">
    <w:name w:val="authorgroup"/>
    <w:basedOn w:val="Normal"/>
    <w:rsid w:val="00AD48E2"/>
    <w:pPr>
      <w:spacing w:before="100" w:beforeAutospacing="1" w:after="100" w:afterAutospacing="1"/>
    </w:pPr>
    <w:rPr>
      <w:rFonts w:eastAsia="SimSun"/>
      <w:b/>
      <w:bCs/>
      <w:lang w:eastAsia="zh-CN"/>
    </w:rPr>
  </w:style>
  <w:style w:type="character" w:customStyle="1" w:styleId="copyright2">
    <w:name w:val="copyright2"/>
    <w:basedOn w:val="DefaultParagraphFont"/>
    <w:rsid w:val="00AD48E2"/>
  </w:style>
  <w:style w:type="paragraph" w:customStyle="1" w:styleId="BogidarStyle">
    <w:name w:val="Bogidar Style"/>
    <w:basedOn w:val="Normal"/>
    <w:rsid w:val="00AD48E2"/>
    <w:pPr>
      <w:numPr>
        <w:numId w:val="7"/>
      </w:numPr>
      <w:spacing w:before="240" w:after="120"/>
      <w:jc w:val="both"/>
    </w:pPr>
    <w:rPr>
      <w:rFonts w:ascii="Arial" w:hAnsi="Arial" w:cs="Arial"/>
      <w:noProof/>
      <w:lang w:val="en-US" w:eastAsia="en-US"/>
    </w:rPr>
  </w:style>
  <w:style w:type="paragraph" w:customStyle="1" w:styleId="BogdarStyle1">
    <w:name w:val="Bogdar Style1"/>
    <w:basedOn w:val="Normal"/>
    <w:rsid w:val="00AD48E2"/>
    <w:pPr>
      <w:numPr>
        <w:ilvl w:val="1"/>
        <w:numId w:val="7"/>
      </w:numPr>
      <w:jc w:val="both"/>
    </w:pPr>
    <w:rPr>
      <w:rFonts w:ascii="Arial" w:hAnsi="Arial" w:cs="Arial"/>
      <w:noProof/>
      <w:lang w:eastAsia="en-US"/>
    </w:rPr>
  </w:style>
  <w:style w:type="paragraph" w:customStyle="1" w:styleId="actions">
    <w:name w:val="actions"/>
    <w:basedOn w:val="Normal"/>
    <w:rsid w:val="00AD48E2"/>
    <w:pPr>
      <w:spacing w:before="100" w:beforeAutospacing="1" w:after="100" w:afterAutospacing="1"/>
    </w:pPr>
    <w:rPr>
      <w:rFonts w:eastAsia="SimSun"/>
      <w:lang w:eastAsia="zh-CN"/>
    </w:rPr>
  </w:style>
  <w:style w:type="paragraph" w:customStyle="1" w:styleId="illustration">
    <w:name w:val="illustration"/>
    <w:basedOn w:val="Normal"/>
    <w:rsid w:val="00AD48E2"/>
    <w:pPr>
      <w:spacing w:before="100" w:beforeAutospacing="1" w:after="100" w:afterAutospacing="1"/>
    </w:pPr>
    <w:rPr>
      <w:rFonts w:eastAsia="SimSun"/>
      <w:lang w:eastAsia="zh-CN"/>
    </w:rPr>
  </w:style>
  <w:style w:type="paragraph" w:customStyle="1" w:styleId="body0">
    <w:name w:val="body"/>
    <w:basedOn w:val="Normal"/>
    <w:rsid w:val="00AD48E2"/>
    <w:pPr>
      <w:spacing w:line="360" w:lineRule="auto"/>
      <w:ind w:firstLine="375"/>
      <w:jc w:val="both"/>
    </w:pPr>
    <w:rPr>
      <w:color w:val="000000"/>
    </w:rPr>
  </w:style>
  <w:style w:type="paragraph" w:customStyle="1" w:styleId="centerimgp">
    <w:name w:val="center_img_p"/>
    <w:basedOn w:val="Normal"/>
    <w:rsid w:val="00AD48E2"/>
    <w:pPr>
      <w:spacing w:before="180" w:after="180"/>
      <w:jc w:val="center"/>
    </w:pPr>
  </w:style>
  <w:style w:type="paragraph" w:customStyle="1" w:styleId="BodyText1">
    <w:name w:val="Body Text1"/>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paragraph" w:styleId="BodyText2">
    <w:name w:val="Body Text 2"/>
    <w:basedOn w:val="Normal"/>
    <w:link w:val="BodyText2Char"/>
    <w:semiHidden/>
    <w:unhideWhenUsed/>
    <w:rsid w:val="00AD48E2"/>
    <w:pPr>
      <w:spacing w:after="120" w:line="480" w:lineRule="auto"/>
    </w:pPr>
    <w:rPr>
      <w:lang w:eastAsia="en-US"/>
    </w:rPr>
  </w:style>
  <w:style w:type="character" w:customStyle="1" w:styleId="BodyText2Char">
    <w:name w:val="Body Text 2 Char"/>
    <w:basedOn w:val="DefaultParagraphFont"/>
    <w:link w:val="BodyText2"/>
    <w:semiHidden/>
    <w:rsid w:val="00AD48E2"/>
    <w:rPr>
      <w:rFonts w:ascii="Times New Roman" w:eastAsia="Times New Roman" w:hAnsi="Times New Roman" w:cs="Times New Roman"/>
      <w:sz w:val="24"/>
      <w:szCs w:val="24"/>
    </w:rPr>
  </w:style>
  <w:style w:type="paragraph" w:customStyle="1" w:styleId="BodyText20">
    <w:name w:val="Body Text2"/>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paragraph" w:customStyle="1" w:styleId="copy1">
    <w:name w:val="copy1"/>
    <w:basedOn w:val="Normal"/>
    <w:rsid w:val="00AD48E2"/>
    <w:pPr>
      <w:spacing w:before="75" w:after="75"/>
    </w:pPr>
    <w:rPr>
      <w:sz w:val="21"/>
      <w:szCs w:val="21"/>
    </w:rPr>
  </w:style>
  <w:style w:type="character" w:customStyle="1" w:styleId="a4">
    <w:name w:val="Основной текст_"/>
    <w:basedOn w:val="DefaultParagraphFont"/>
    <w:link w:val="1"/>
    <w:locked/>
    <w:rsid w:val="00AD48E2"/>
    <w:rPr>
      <w:sz w:val="27"/>
      <w:szCs w:val="27"/>
      <w:shd w:val="clear" w:color="auto" w:fill="FFFFFF"/>
    </w:rPr>
  </w:style>
  <w:style w:type="paragraph" w:customStyle="1" w:styleId="1">
    <w:name w:val="Основной текст1"/>
    <w:basedOn w:val="Normal"/>
    <w:link w:val="a4"/>
    <w:rsid w:val="00AD48E2"/>
    <w:pPr>
      <w:shd w:val="clear" w:color="auto" w:fill="FFFFFF"/>
      <w:spacing w:before="1680" w:after="5460" w:line="317" w:lineRule="exact"/>
      <w:ind w:hanging="680"/>
      <w:jc w:val="center"/>
    </w:pPr>
    <w:rPr>
      <w:rFonts w:asciiTheme="minorHAnsi" w:eastAsiaTheme="minorHAnsi" w:hAnsiTheme="minorHAnsi" w:cstheme="minorBidi"/>
      <w:sz w:val="27"/>
      <w:szCs w:val="27"/>
      <w:lang w:eastAsia="en-US"/>
    </w:rPr>
  </w:style>
  <w:style w:type="paragraph" w:customStyle="1" w:styleId="BodyText3">
    <w:name w:val="Body Text3"/>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character" w:customStyle="1" w:styleId="a5">
    <w:name w:val="Обычный (веб) Знак"/>
    <w:basedOn w:val="DefaultParagraphFont"/>
    <w:link w:val="msonormalbullet2gif"/>
    <w:locked/>
    <w:rsid w:val="00AD48E2"/>
    <w:rPr>
      <w:sz w:val="24"/>
      <w:szCs w:val="24"/>
      <w:lang w:eastAsia="ru-RU"/>
    </w:rPr>
  </w:style>
  <w:style w:type="paragraph" w:customStyle="1" w:styleId="msonormalbullet2gif">
    <w:name w:val="msonormalbullet2.gif"/>
    <w:basedOn w:val="Normal"/>
    <w:link w:val="a5"/>
    <w:rsid w:val="00AD48E2"/>
    <w:pPr>
      <w:spacing w:before="100" w:beforeAutospacing="1" w:after="100" w:afterAutospacing="1"/>
    </w:pPr>
    <w:rPr>
      <w:rFonts w:asciiTheme="minorHAnsi" w:eastAsiaTheme="minorHAnsi" w:hAnsiTheme="minorHAnsi" w:cstheme="minorBidi"/>
      <w:lang w:eastAsia="ru-RU"/>
    </w:rPr>
  </w:style>
  <w:style w:type="character" w:customStyle="1" w:styleId="nowrap1">
    <w:name w:val="nowrap1"/>
    <w:basedOn w:val="DefaultParagraphFont"/>
    <w:rsid w:val="00AD48E2"/>
  </w:style>
  <w:style w:type="paragraph" w:customStyle="1" w:styleId="summary">
    <w:name w:val="summary"/>
    <w:basedOn w:val="Normal"/>
    <w:rsid w:val="00AD48E2"/>
    <w:pPr>
      <w:pBdr>
        <w:top w:val="single" w:sz="6" w:space="4" w:color="888888"/>
        <w:left w:val="single" w:sz="6" w:space="15" w:color="888888"/>
        <w:bottom w:val="single" w:sz="6" w:space="4" w:color="888888"/>
        <w:right w:val="single" w:sz="6" w:space="15" w:color="888888"/>
      </w:pBdr>
      <w:shd w:val="clear" w:color="auto" w:fill="F8F8F8"/>
      <w:spacing w:before="75" w:after="75"/>
      <w:jc w:val="both"/>
    </w:pPr>
    <w:rPr>
      <w:rFonts w:ascii="Arial" w:hAnsi="Arial" w:cs="Arial"/>
      <w:b/>
      <w:bCs/>
      <w:sz w:val="28"/>
      <w:szCs w:val="28"/>
    </w:rPr>
  </w:style>
  <w:style w:type="character" w:customStyle="1" w:styleId="st1">
    <w:name w:val="st1"/>
    <w:basedOn w:val="DefaultParagraphFont"/>
    <w:rsid w:val="00AD48E2"/>
  </w:style>
  <w:style w:type="paragraph" w:customStyle="1" w:styleId="infotext">
    <w:name w:val="info_text"/>
    <w:basedOn w:val="Normal"/>
    <w:rsid w:val="00AD48E2"/>
    <w:pPr>
      <w:spacing w:after="75"/>
      <w:ind w:left="600"/>
      <w:jc w:val="both"/>
    </w:pPr>
    <w:rPr>
      <w:rFonts w:eastAsia="SimSun"/>
      <w:color w:val="183F6F"/>
      <w:sz w:val="17"/>
      <w:szCs w:val="17"/>
      <w:lang w:eastAsia="zh-CN"/>
    </w:rPr>
  </w:style>
  <w:style w:type="character" w:customStyle="1" w:styleId="name">
    <w:name w:val="name"/>
    <w:basedOn w:val="DefaultParagraphFont"/>
    <w:rsid w:val="00AD48E2"/>
  </w:style>
  <w:style w:type="character" w:customStyle="1" w:styleId="timestamp">
    <w:name w:val="timestamp"/>
    <w:basedOn w:val="DefaultParagraphFont"/>
    <w:rsid w:val="00AD48E2"/>
  </w:style>
  <w:style w:type="paragraph" w:customStyle="1" w:styleId="FIG">
    <w:name w:val="FIG"/>
    <w:basedOn w:val="Normal"/>
    <w:rsid w:val="00AD48E2"/>
    <w:pPr>
      <w:spacing w:before="240" w:after="120"/>
      <w:jc w:val="center"/>
    </w:pPr>
    <w:rPr>
      <w:rFonts w:ascii="Times New Roman Bold" w:hAnsi="Times New Roman Bold"/>
      <w:b/>
      <w:sz w:val="20"/>
      <w:szCs w:val="22"/>
    </w:rPr>
  </w:style>
  <w:style w:type="paragraph" w:customStyle="1" w:styleId="FIGIZTOCHNIK">
    <w:name w:val="FIG_IZTOCHNIK"/>
    <w:basedOn w:val="Normal"/>
    <w:rsid w:val="00AD48E2"/>
    <w:pPr>
      <w:spacing w:before="120"/>
      <w:ind w:firstLine="284"/>
      <w:jc w:val="both"/>
    </w:pPr>
    <w:rPr>
      <w:i/>
      <w:sz w:val="20"/>
      <w:szCs w:val="22"/>
      <w:lang w:val="en-US"/>
    </w:rPr>
  </w:style>
  <w:style w:type="paragraph" w:styleId="TOC1">
    <w:name w:val="toc 1"/>
    <w:basedOn w:val="Normal"/>
    <w:next w:val="Normal"/>
    <w:autoRedefine/>
    <w:uiPriority w:val="39"/>
    <w:unhideWhenUsed/>
    <w:rsid w:val="00AD48E2"/>
    <w:pPr>
      <w:spacing w:before="120" w:after="60"/>
    </w:pPr>
    <w:rPr>
      <w:rFonts w:ascii="Times New Roman Bold" w:hAnsi="Times New Roman Bold"/>
      <w:b/>
    </w:rPr>
  </w:style>
  <w:style w:type="paragraph" w:styleId="TOC2">
    <w:name w:val="toc 2"/>
    <w:basedOn w:val="Normal"/>
    <w:next w:val="Normal"/>
    <w:autoRedefine/>
    <w:uiPriority w:val="39"/>
    <w:unhideWhenUsed/>
    <w:rsid w:val="00AD48E2"/>
    <w:pPr>
      <w:tabs>
        <w:tab w:val="right" w:leader="dot" w:pos="9401"/>
      </w:tabs>
      <w:spacing w:after="100"/>
      <w:ind w:left="240"/>
    </w:pPr>
  </w:style>
  <w:style w:type="paragraph" w:customStyle="1" w:styleId="a6">
    <w:name w:val="таблица"/>
    <w:basedOn w:val="Normal"/>
    <w:link w:val="Char0"/>
    <w:qFormat/>
    <w:rsid w:val="00AD48E2"/>
    <w:pPr>
      <w:spacing w:line="360" w:lineRule="auto"/>
      <w:ind w:left="360"/>
    </w:pPr>
    <w:rPr>
      <w:rFonts w:eastAsia="Calibri"/>
      <w:i/>
      <w:lang w:val="x-none" w:eastAsia="x-none"/>
    </w:rPr>
  </w:style>
  <w:style w:type="character" w:customStyle="1" w:styleId="Char0">
    <w:name w:val="таблица Char"/>
    <w:link w:val="a6"/>
    <w:rsid w:val="00AD48E2"/>
    <w:rPr>
      <w:rFonts w:ascii="Times New Roman" w:eastAsia="Calibri" w:hAnsi="Times New Roman" w:cs="Times New Roman"/>
      <w:i/>
      <w:sz w:val="24"/>
      <w:szCs w:val="24"/>
      <w:lang w:val="x-none" w:eastAsia="x-none"/>
    </w:rPr>
  </w:style>
  <w:style w:type="paragraph" w:customStyle="1" w:styleId="a7">
    <w:name w:val="схема"/>
    <w:basedOn w:val="Normal"/>
    <w:link w:val="Char1"/>
    <w:qFormat/>
    <w:rsid w:val="00AD48E2"/>
    <w:pPr>
      <w:tabs>
        <w:tab w:val="left" w:pos="0"/>
      </w:tabs>
      <w:spacing w:line="360" w:lineRule="auto"/>
      <w:jc w:val="both"/>
    </w:pPr>
    <w:rPr>
      <w:rFonts w:eastAsia="Calibri"/>
      <w:i/>
      <w:lang w:val="x-none" w:eastAsia="x-none"/>
    </w:rPr>
  </w:style>
  <w:style w:type="character" w:customStyle="1" w:styleId="Char1">
    <w:name w:val="схема Char"/>
    <w:link w:val="a7"/>
    <w:rsid w:val="00AD48E2"/>
    <w:rPr>
      <w:rFonts w:ascii="Times New Roman" w:eastAsia="Calibri" w:hAnsi="Times New Roman" w:cs="Times New Roman"/>
      <w:i/>
      <w:sz w:val="24"/>
      <w:szCs w:val="24"/>
      <w:lang w:val="x-none" w:eastAsia="x-none"/>
    </w:rPr>
  </w:style>
  <w:style w:type="paragraph" w:customStyle="1" w:styleId="a8">
    <w:name w:val="приложение"/>
    <w:basedOn w:val="Normal"/>
    <w:link w:val="Char2"/>
    <w:qFormat/>
    <w:rsid w:val="00AD48E2"/>
    <w:pPr>
      <w:spacing w:line="360" w:lineRule="auto"/>
    </w:pPr>
    <w:rPr>
      <w:rFonts w:eastAsia="Calibri"/>
      <w:b/>
      <w:lang w:val="x-none" w:eastAsia="x-none"/>
    </w:rPr>
  </w:style>
  <w:style w:type="character" w:customStyle="1" w:styleId="Char2">
    <w:name w:val="приложение Char"/>
    <w:link w:val="a8"/>
    <w:rsid w:val="00AD48E2"/>
    <w:rPr>
      <w:rFonts w:ascii="Times New Roman" w:eastAsia="Calibri" w:hAnsi="Times New Roman" w:cs="Times New Roman"/>
      <w:b/>
      <w:sz w:val="24"/>
      <w:szCs w:val="24"/>
      <w:lang w:val="x-none" w:eastAsia="x-none"/>
    </w:rPr>
  </w:style>
  <w:style w:type="paragraph" w:customStyle="1" w:styleId="Pa29">
    <w:name w:val="Pa29"/>
    <w:basedOn w:val="Normal"/>
    <w:uiPriority w:val="99"/>
    <w:rsid w:val="00AD48E2"/>
    <w:pPr>
      <w:widowControl w:val="0"/>
      <w:autoSpaceDE w:val="0"/>
      <w:autoSpaceDN w:val="0"/>
      <w:adjustRightInd w:val="0"/>
      <w:spacing w:line="141" w:lineRule="atLeast"/>
    </w:pPr>
    <w:rPr>
      <w:rFonts w:ascii="Helvetica Condensed" w:cs="Helvetica Condensed"/>
      <w:lang w:val="en-US" w:eastAsia="en-US"/>
    </w:rPr>
  </w:style>
  <w:style w:type="paragraph" w:styleId="Bibliography">
    <w:name w:val="Bibliography"/>
    <w:basedOn w:val="Normal"/>
    <w:next w:val="Normal"/>
    <w:uiPriority w:val="37"/>
    <w:unhideWhenUsed/>
    <w:rsid w:val="00AD48E2"/>
    <w:rPr>
      <w:sz w:val="20"/>
      <w:szCs w:val="20"/>
      <w:lang w:val="en-US" w:eastAsia="en-US"/>
    </w:rPr>
  </w:style>
  <w:style w:type="character" w:customStyle="1" w:styleId="al-author-name">
    <w:name w:val="al-author-name"/>
    <w:rsid w:val="00AD48E2"/>
  </w:style>
  <w:style w:type="character" w:customStyle="1" w:styleId="wi-fullname">
    <w:name w:val="wi-fullname"/>
    <w:rsid w:val="00AD48E2"/>
  </w:style>
  <w:style w:type="table" w:customStyle="1" w:styleId="PlainTable21">
    <w:name w:val="Plain Table 21"/>
    <w:basedOn w:val="TableNormal"/>
    <w:uiPriority w:val="42"/>
    <w:rsid w:val="00AD48E2"/>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locked/>
    <w:rsid w:val="00AD48E2"/>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AD48E2"/>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AD48E2"/>
    <w:rPr>
      <w:rFonts w:ascii="Times New Roman" w:eastAsia="Calibri" w:hAnsi="Times New Roman" w:cs="Times New Roman"/>
      <w:sz w:val="20"/>
      <w:szCs w:val="20"/>
      <w:lang w:val="en-US"/>
    </w:rPr>
  </w:style>
  <w:style w:type="character" w:styleId="CommentReference">
    <w:name w:val="annotation reference"/>
    <w:uiPriority w:val="99"/>
    <w:semiHidden/>
    <w:unhideWhenUsed/>
    <w:rsid w:val="00AD48E2"/>
    <w:rPr>
      <w:sz w:val="16"/>
      <w:szCs w:val="16"/>
    </w:rPr>
  </w:style>
  <w:style w:type="paragraph" w:styleId="CommentText">
    <w:name w:val="annotation text"/>
    <w:basedOn w:val="Normal"/>
    <w:link w:val="CommentTextChar"/>
    <w:uiPriority w:val="99"/>
    <w:semiHidden/>
    <w:unhideWhenUsed/>
    <w:rsid w:val="00AD48E2"/>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semiHidden/>
    <w:rsid w:val="00AD48E2"/>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AD48E2"/>
    <w:rPr>
      <w:b/>
      <w:bCs/>
    </w:rPr>
  </w:style>
  <w:style w:type="character" w:customStyle="1" w:styleId="CommentSubjectChar">
    <w:name w:val="Comment Subject Char"/>
    <w:basedOn w:val="CommentTextChar"/>
    <w:link w:val="CommentSubject"/>
    <w:uiPriority w:val="99"/>
    <w:semiHidden/>
    <w:rsid w:val="00AD48E2"/>
    <w:rPr>
      <w:rFonts w:ascii="Calibri" w:eastAsia="Calibri" w:hAnsi="Calibri" w:cs="Times New Roman"/>
      <w:b/>
      <w:bCs/>
      <w:sz w:val="20"/>
      <w:szCs w:val="20"/>
      <w:lang w:val="x-none"/>
    </w:rPr>
  </w:style>
  <w:style w:type="paragraph" w:customStyle="1" w:styleId="NormalA">
    <w:name w:val="Normal_A"/>
    <w:basedOn w:val="Heading1"/>
    <w:rsid w:val="00AD48E2"/>
    <w:pPr>
      <w:spacing w:after="0" w:line="300" w:lineRule="exact"/>
      <w:ind w:firstLine="284"/>
      <w:jc w:val="both"/>
    </w:pPr>
    <w:rPr>
      <w:rFonts w:ascii="Times New Roman" w:eastAsia="Calibri" w:hAnsi="Times New Roman" w:cs="Times New Roman"/>
      <w:b w:val="0"/>
      <w:bCs w:val="0"/>
      <w:caps w:val="0"/>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AD48E2"/>
    <w:pPr>
      <w:spacing w:after="240"/>
      <w:jc w:val="center"/>
      <w:outlineLvl w:val="0"/>
    </w:pPr>
    <w:rPr>
      <w:rFonts w:ascii="Times New Roman Bold" w:hAnsi="Times New Roman Bold" w:cs="Helvetica"/>
      <w:b/>
      <w:bCs/>
      <w:caps/>
      <w:sz w:val="28"/>
      <w:lang w:val="en-GB" w:eastAsia="en-US"/>
    </w:rPr>
  </w:style>
  <w:style w:type="paragraph" w:styleId="Heading2">
    <w:name w:val="heading 2"/>
    <w:basedOn w:val="Normal"/>
    <w:next w:val="Normal"/>
    <w:link w:val="Heading2Char"/>
    <w:uiPriority w:val="9"/>
    <w:unhideWhenUsed/>
    <w:qFormat/>
    <w:rsid w:val="00AD48E2"/>
    <w:pPr>
      <w:spacing w:after="360"/>
      <w:jc w:val="center"/>
      <w:outlineLvl w:val="1"/>
    </w:pPr>
    <w:rPr>
      <w:rFonts w:eastAsiaTheme="majorEastAsia" w:cstheme="majorBidi"/>
      <w:bCs/>
      <w:i/>
      <w:szCs w:val="26"/>
      <w:lang w:val="en-GB" w:eastAsia="en-US"/>
    </w:rPr>
  </w:style>
  <w:style w:type="paragraph" w:styleId="Heading3">
    <w:name w:val="heading 3"/>
    <w:basedOn w:val="Normal"/>
    <w:next w:val="Normal"/>
    <w:link w:val="Heading3Char"/>
    <w:uiPriority w:val="9"/>
    <w:qFormat/>
    <w:rsid w:val="00AD48E2"/>
    <w:pPr>
      <w:keepNext/>
      <w:ind w:firstLine="284"/>
      <w:outlineLvl w:val="2"/>
    </w:pPr>
    <w:rPr>
      <w:rFonts w:ascii="Times New Roman Bold" w:hAnsi="Times New Roman Bold"/>
      <w:b/>
      <w:szCs w:val="20"/>
    </w:rPr>
  </w:style>
  <w:style w:type="paragraph" w:styleId="Heading4">
    <w:name w:val="heading 4"/>
    <w:basedOn w:val="Normal"/>
    <w:next w:val="Normal"/>
    <w:link w:val="Heading4Char"/>
    <w:uiPriority w:val="9"/>
    <w:unhideWhenUsed/>
    <w:qFormat/>
    <w:rsid w:val="00AD48E2"/>
    <w:pPr>
      <w:keepNext/>
      <w:keepLines/>
      <w:spacing w:before="200"/>
      <w:outlineLvl w:val="3"/>
    </w:pPr>
    <w:rPr>
      <w:rFonts w:asciiTheme="majorHAnsi" w:eastAsiaTheme="majorEastAsia" w:hAnsiTheme="majorHAnsi" w:cstheme="majorBidi"/>
      <w:b/>
      <w:bCs/>
      <w:i/>
      <w:iCs/>
      <w:color w:val="4F81BD" w:themeColor="accent1"/>
      <w:lang w:val="en-GB" w:eastAsia="en-US"/>
    </w:rPr>
  </w:style>
  <w:style w:type="paragraph" w:styleId="Heading5">
    <w:name w:val="heading 5"/>
    <w:basedOn w:val="Normal"/>
    <w:next w:val="Normal"/>
    <w:link w:val="Heading5Char"/>
    <w:qFormat/>
    <w:rsid w:val="00AD48E2"/>
    <w:pPr>
      <w:keepNext/>
      <w:ind w:left="720"/>
      <w:jc w:val="both"/>
      <w:outlineLvl w:val="4"/>
    </w:pPr>
    <w:rPr>
      <w:szCs w:val="20"/>
      <w:u w:val="single"/>
    </w:rPr>
  </w:style>
  <w:style w:type="paragraph" w:styleId="Heading6">
    <w:name w:val="heading 6"/>
    <w:basedOn w:val="Normal"/>
    <w:next w:val="Normal"/>
    <w:link w:val="Heading6Char"/>
    <w:uiPriority w:val="9"/>
    <w:qFormat/>
    <w:rsid w:val="00AD48E2"/>
    <w:pPr>
      <w:keepNext/>
      <w:ind w:firstLine="720"/>
      <w:jc w:val="both"/>
      <w:outlineLvl w:val="5"/>
    </w:pPr>
    <w:rPr>
      <w:b/>
      <w:i/>
      <w:szCs w:val="20"/>
    </w:rPr>
  </w:style>
  <w:style w:type="paragraph" w:styleId="Heading7">
    <w:name w:val="heading 7"/>
    <w:basedOn w:val="Normal"/>
    <w:next w:val="Normal"/>
    <w:link w:val="Heading7Char"/>
    <w:uiPriority w:val="9"/>
    <w:qFormat/>
    <w:rsid w:val="00AD48E2"/>
    <w:pPr>
      <w:keepNext/>
      <w:jc w:val="both"/>
      <w:outlineLvl w:val="6"/>
    </w:pPr>
    <w:rPr>
      <w:b/>
      <w:szCs w:val="20"/>
    </w:rPr>
  </w:style>
  <w:style w:type="paragraph" w:styleId="Heading8">
    <w:name w:val="heading 8"/>
    <w:basedOn w:val="Normal"/>
    <w:next w:val="Normal"/>
    <w:link w:val="Heading8Char"/>
    <w:qFormat/>
    <w:rsid w:val="00AD48E2"/>
    <w:pPr>
      <w:keepNext/>
      <w:ind w:left="720"/>
      <w:jc w:val="both"/>
      <w:outlineLvl w:val="7"/>
    </w:pPr>
    <w:rPr>
      <w:b/>
      <w:szCs w:val="20"/>
    </w:rPr>
  </w:style>
  <w:style w:type="paragraph" w:styleId="Heading9">
    <w:name w:val="heading 9"/>
    <w:basedOn w:val="Normal"/>
    <w:next w:val="Normal"/>
    <w:link w:val="Heading9Char"/>
    <w:uiPriority w:val="9"/>
    <w:semiHidden/>
    <w:unhideWhenUsed/>
    <w:qFormat/>
    <w:rsid w:val="00AD48E2"/>
    <w:pPr>
      <w:keepNext/>
      <w:keepLines/>
      <w:spacing w:before="40" w:line="300" w:lineRule="auto"/>
      <w:outlineLvl w:val="8"/>
    </w:pPr>
    <w:rPr>
      <w:rFonts w:asciiTheme="majorHAnsi" w:eastAsiaTheme="majorEastAsia" w:hAnsiTheme="majorHAnsi" w:cstheme="majorBidi"/>
      <w:b/>
      <w:bCs/>
      <w:i/>
      <w:iCs/>
      <w:color w:val="000000" w:themeColor="text1"/>
      <w:sz w:val="17"/>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E2"/>
    <w:rPr>
      <w:rFonts w:ascii="Times New Roman Bold" w:eastAsia="Times New Roman" w:hAnsi="Times New Roman Bold" w:cs="Helvetica"/>
      <w:b/>
      <w:bCs/>
      <w:caps/>
      <w:sz w:val="28"/>
      <w:szCs w:val="24"/>
      <w:lang w:val="en-GB"/>
    </w:rPr>
  </w:style>
  <w:style w:type="character" w:customStyle="1" w:styleId="Heading2Char">
    <w:name w:val="Heading 2 Char"/>
    <w:basedOn w:val="DefaultParagraphFont"/>
    <w:link w:val="Heading2"/>
    <w:uiPriority w:val="9"/>
    <w:rsid w:val="00AD48E2"/>
    <w:rPr>
      <w:rFonts w:ascii="Times New Roman" w:eastAsiaTheme="majorEastAsia" w:hAnsi="Times New Roman" w:cstheme="majorBidi"/>
      <w:bCs/>
      <w:i/>
      <w:sz w:val="24"/>
      <w:szCs w:val="26"/>
      <w:lang w:val="en-GB"/>
    </w:rPr>
  </w:style>
  <w:style w:type="character" w:customStyle="1" w:styleId="Heading3Char">
    <w:name w:val="Heading 3 Char"/>
    <w:basedOn w:val="DefaultParagraphFont"/>
    <w:link w:val="Heading3"/>
    <w:uiPriority w:val="9"/>
    <w:rsid w:val="00AD48E2"/>
    <w:rPr>
      <w:rFonts w:ascii="Times New Roman Bold" w:eastAsia="Times New Roman" w:hAnsi="Times New Roman Bold" w:cs="Times New Roman"/>
      <w:b/>
      <w:sz w:val="24"/>
      <w:szCs w:val="20"/>
      <w:lang w:eastAsia="bg-BG"/>
    </w:rPr>
  </w:style>
  <w:style w:type="character" w:customStyle="1" w:styleId="Heading4Char">
    <w:name w:val="Heading 4 Char"/>
    <w:basedOn w:val="DefaultParagraphFont"/>
    <w:link w:val="Heading4"/>
    <w:uiPriority w:val="9"/>
    <w:rsid w:val="00AD48E2"/>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rsid w:val="00AD48E2"/>
    <w:rPr>
      <w:rFonts w:ascii="Times New Roman" w:eastAsia="Times New Roman" w:hAnsi="Times New Roman" w:cs="Times New Roman"/>
      <w:sz w:val="24"/>
      <w:szCs w:val="20"/>
      <w:u w:val="single"/>
      <w:lang w:eastAsia="bg-BG"/>
    </w:rPr>
  </w:style>
  <w:style w:type="character" w:customStyle="1" w:styleId="Heading6Char">
    <w:name w:val="Heading 6 Char"/>
    <w:basedOn w:val="DefaultParagraphFont"/>
    <w:link w:val="Heading6"/>
    <w:uiPriority w:val="9"/>
    <w:rsid w:val="00AD48E2"/>
    <w:rPr>
      <w:rFonts w:ascii="Times New Roman" w:eastAsia="Times New Roman" w:hAnsi="Times New Roman" w:cs="Times New Roman"/>
      <w:b/>
      <w:i/>
      <w:sz w:val="24"/>
      <w:szCs w:val="20"/>
      <w:lang w:eastAsia="bg-BG"/>
    </w:rPr>
  </w:style>
  <w:style w:type="character" w:customStyle="1" w:styleId="Heading7Char">
    <w:name w:val="Heading 7 Char"/>
    <w:basedOn w:val="DefaultParagraphFont"/>
    <w:link w:val="Heading7"/>
    <w:uiPriority w:val="9"/>
    <w:rsid w:val="00AD48E2"/>
    <w:rPr>
      <w:rFonts w:ascii="Times New Roman" w:eastAsia="Times New Roman" w:hAnsi="Times New Roman" w:cs="Times New Roman"/>
      <w:b/>
      <w:sz w:val="24"/>
      <w:szCs w:val="20"/>
      <w:lang w:eastAsia="bg-BG"/>
    </w:rPr>
  </w:style>
  <w:style w:type="character" w:customStyle="1" w:styleId="Heading8Char">
    <w:name w:val="Heading 8 Char"/>
    <w:basedOn w:val="DefaultParagraphFont"/>
    <w:link w:val="Heading8"/>
    <w:rsid w:val="00AD48E2"/>
    <w:rPr>
      <w:rFonts w:ascii="Times New Roman" w:eastAsia="Times New Roman" w:hAnsi="Times New Roman" w:cs="Times New Roman"/>
      <w:b/>
      <w:sz w:val="24"/>
      <w:szCs w:val="20"/>
      <w:lang w:eastAsia="bg-BG"/>
    </w:rPr>
  </w:style>
  <w:style w:type="character" w:customStyle="1" w:styleId="Heading9Char">
    <w:name w:val="Heading 9 Char"/>
    <w:basedOn w:val="DefaultParagraphFont"/>
    <w:link w:val="Heading9"/>
    <w:uiPriority w:val="9"/>
    <w:semiHidden/>
    <w:rsid w:val="00AD48E2"/>
    <w:rPr>
      <w:rFonts w:asciiTheme="majorHAnsi" w:eastAsiaTheme="majorEastAsia" w:hAnsiTheme="majorHAnsi" w:cstheme="majorBidi"/>
      <w:b/>
      <w:bCs/>
      <w:i/>
      <w:iCs/>
      <w:color w:val="000000" w:themeColor="text1"/>
      <w:sz w:val="17"/>
      <w:szCs w:val="17"/>
      <w:lang w:val="en-US" w:eastAsia="ja-JP"/>
    </w:rPr>
  </w:style>
  <w:style w:type="paragraph" w:styleId="BalloonText">
    <w:name w:val="Balloon Text"/>
    <w:basedOn w:val="Normal"/>
    <w:link w:val="BalloonTextChar"/>
    <w:uiPriority w:val="99"/>
    <w:semiHidden/>
    <w:unhideWhenUsed/>
    <w:rsid w:val="00AD48E2"/>
    <w:rPr>
      <w:rFonts w:ascii="Tahoma" w:hAnsi="Tahoma" w:cs="Tahoma"/>
      <w:sz w:val="16"/>
      <w:szCs w:val="16"/>
    </w:rPr>
  </w:style>
  <w:style w:type="character" w:customStyle="1" w:styleId="BalloonTextChar">
    <w:name w:val="Balloon Text Char"/>
    <w:basedOn w:val="DefaultParagraphFont"/>
    <w:link w:val="BalloonText"/>
    <w:uiPriority w:val="99"/>
    <w:semiHidden/>
    <w:rsid w:val="00AD48E2"/>
    <w:rPr>
      <w:rFonts w:ascii="Tahoma" w:eastAsia="Times New Roman" w:hAnsi="Tahoma" w:cs="Tahoma"/>
      <w:sz w:val="16"/>
      <w:szCs w:val="16"/>
      <w:lang w:eastAsia="bg-BG"/>
    </w:rPr>
  </w:style>
  <w:style w:type="paragraph" w:styleId="Header">
    <w:name w:val="header"/>
    <w:basedOn w:val="Normal"/>
    <w:link w:val="HeaderChar"/>
    <w:uiPriority w:val="99"/>
    <w:unhideWhenUsed/>
    <w:rsid w:val="00AD48E2"/>
    <w:pPr>
      <w:tabs>
        <w:tab w:val="center" w:pos="4536"/>
        <w:tab w:val="right" w:pos="9072"/>
      </w:tabs>
    </w:pPr>
  </w:style>
  <w:style w:type="character" w:customStyle="1" w:styleId="HeaderChar">
    <w:name w:val="Header Char"/>
    <w:basedOn w:val="DefaultParagraphFont"/>
    <w:link w:val="Header"/>
    <w:uiPriority w:val="99"/>
    <w:rsid w:val="00AD48E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48E2"/>
    <w:pPr>
      <w:tabs>
        <w:tab w:val="center" w:pos="4536"/>
        <w:tab w:val="right" w:pos="9072"/>
      </w:tabs>
    </w:pPr>
  </w:style>
  <w:style w:type="character" w:customStyle="1" w:styleId="FooterChar">
    <w:name w:val="Footer Char"/>
    <w:basedOn w:val="DefaultParagraphFont"/>
    <w:link w:val="Footer"/>
    <w:uiPriority w:val="99"/>
    <w:rsid w:val="00AD48E2"/>
    <w:rPr>
      <w:rFonts w:ascii="Times New Roman" w:eastAsia="Times New Roman" w:hAnsi="Times New Roman" w:cs="Times New Roman"/>
      <w:sz w:val="24"/>
      <w:szCs w:val="24"/>
      <w:lang w:eastAsia="bg-BG"/>
    </w:rPr>
  </w:style>
  <w:style w:type="paragraph" w:styleId="BodyText">
    <w:name w:val="Body Text"/>
    <w:basedOn w:val="Normal"/>
    <w:link w:val="BodyTextChar"/>
    <w:rsid w:val="00AD48E2"/>
    <w:rPr>
      <w:rFonts w:ascii="Helvetica" w:hAnsi="Helvetica" w:cs="Helvetica"/>
      <w:b/>
      <w:bCs/>
      <w:color w:val="003300"/>
      <w:lang w:val="en-GB" w:eastAsia="en-US"/>
    </w:rPr>
  </w:style>
  <w:style w:type="character" w:customStyle="1" w:styleId="BodyTextChar">
    <w:name w:val="Body Text Char"/>
    <w:basedOn w:val="DefaultParagraphFont"/>
    <w:link w:val="BodyText"/>
    <w:rsid w:val="00AD48E2"/>
    <w:rPr>
      <w:rFonts w:ascii="Helvetica" w:eastAsia="Times New Roman" w:hAnsi="Helvetica" w:cs="Helvetica"/>
      <w:b/>
      <w:bCs/>
      <w:color w:val="003300"/>
      <w:sz w:val="24"/>
      <w:szCs w:val="24"/>
      <w:lang w:val="en-GB"/>
    </w:rPr>
  </w:style>
  <w:style w:type="paragraph" w:styleId="FootnoteText">
    <w:name w:val="footnote text"/>
    <w:aliases w:val="Fußnotentext arial,fn,ALTS FOOTNOTE,fn Char, Char,stile 1,Footnote1,Footnote2,Footnote3,Footnote4,Footnote5,Footnote6,Footnote7,Footnote8,Footnote9,Footnote10,Footnote11,Footnote21,Footnote31,Footnote41,Footnote51,Footnote61,Footnote71"/>
    <w:basedOn w:val="Normal"/>
    <w:link w:val="FootnoteTextChar"/>
    <w:unhideWhenUsed/>
    <w:rsid w:val="00AD48E2"/>
    <w:pPr>
      <w:ind w:firstLine="284"/>
      <w:jc w:val="both"/>
    </w:pPr>
    <w:rPr>
      <w:sz w:val="20"/>
      <w:szCs w:val="20"/>
      <w:lang w:val="en-GB" w:eastAsia="en-US"/>
    </w:rPr>
  </w:style>
  <w:style w:type="character" w:customStyle="1" w:styleId="FootnoteTextChar">
    <w:name w:val="Footnote Text Char"/>
    <w:aliases w:val="Fußnotentext arial Char,fn Char1,ALTS FOOTNOTE Char,fn Char Char, Char Char,stile 1 Char,Footnote1 Char,Footnote2 Char,Footnote3 Char,Footnote4 Char,Footnote5 Char,Footnote6 Char,Footnote7 Char,Footnote8 Char,Footnote9 Char"/>
    <w:basedOn w:val="DefaultParagraphFont"/>
    <w:link w:val="FootnoteText"/>
    <w:rsid w:val="00AD48E2"/>
    <w:rPr>
      <w:rFonts w:ascii="Times New Roman" w:eastAsia="Times New Roman" w:hAnsi="Times New Roman" w:cs="Times New Roman"/>
      <w:sz w:val="20"/>
      <w:szCs w:val="20"/>
      <w:lang w:val="en-GB"/>
    </w:rPr>
  </w:style>
  <w:style w:type="character" w:styleId="FootnoteReference">
    <w:name w:val="footnote reference"/>
    <w:aliases w:val="Footnote,Footnote symbol,Char1 Char Char Char Char, Char1 Char Char Char Char,Heading 4 Char1 Char Char,Heading 4 Char Char Char Char,Level 2 - a Char Char Char Char,Level 2 - a1 Char Char Char Char,Times 10 Point,BVI fnr"/>
    <w:basedOn w:val="DefaultParagraphFont"/>
    <w:uiPriority w:val="99"/>
    <w:unhideWhenUsed/>
    <w:rsid w:val="00AD48E2"/>
    <w:rPr>
      <w:vertAlign w:val="superscript"/>
    </w:rPr>
  </w:style>
  <w:style w:type="table" w:styleId="TableGrid">
    <w:name w:val="Table Grid"/>
    <w:basedOn w:val="TableNormal"/>
    <w:uiPriority w:val="99"/>
    <w:rsid w:val="00AD48E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D48E2"/>
    <w:rPr>
      <w:color w:val="0000FF"/>
      <w:u w:val="single"/>
    </w:rPr>
  </w:style>
  <w:style w:type="paragraph" w:styleId="ListParagraph">
    <w:name w:val="List Paragraph"/>
    <w:basedOn w:val="Normal"/>
    <w:link w:val="ListParagraphChar"/>
    <w:uiPriority w:val="34"/>
    <w:qFormat/>
    <w:rsid w:val="00AD48E2"/>
    <w:pPr>
      <w:ind w:left="720"/>
      <w:contextualSpacing/>
    </w:pPr>
    <w:rPr>
      <w:lang w:val="en-GB" w:eastAsia="en-US"/>
    </w:rPr>
  </w:style>
  <w:style w:type="paragraph" w:styleId="BodyTextIndent">
    <w:name w:val="Body Text Indent"/>
    <w:basedOn w:val="Normal"/>
    <w:link w:val="BodyTextIndentChar"/>
    <w:unhideWhenUsed/>
    <w:rsid w:val="00AD48E2"/>
    <w:pPr>
      <w:spacing w:after="120"/>
      <w:ind w:left="283"/>
    </w:pPr>
    <w:rPr>
      <w:lang w:val="en-GB" w:eastAsia="en-US"/>
    </w:rPr>
  </w:style>
  <w:style w:type="character" w:customStyle="1" w:styleId="BodyTextIndentChar">
    <w:name w:val="Body Text Indent Char"/>
    <w:basedOn w:val="DefaultParagraphFont"/>
    <w:link w:val="BodyTextIndent"/>
    <w:rsid w:val="00AD48E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AD48E2"/>
    <w:pPr>
      <w:spacing w:after="200"/>
    </w:pPr>
    <w:rPr>
      <w:rFonts w:asciiTheme="minorHAnsi" w:eastAsiaTheme="minorHAnsi" w:hAnsiTheme="minorHAnsi" w:cstheme="minorBidi"/>
      <w:i/>
      <w:iCs/>
      <w:color w:val="1F497D" w:themeColor="text2"/>
      <w:sz w:val="18"/>
      <w:szCs w:val="18"/>
      <w:lang w:val="en-US" w:eastAsia="en-US"/>
    </w:rPr>
  </w:style>
  <w:style w:type="numbering" w:customStyle="1" w:styleId="NoList1">
    <w:name w:val="No List1"/>
    <w:next w:val="NoList"/>
    <w:uiPriority w:val="99"/>
    <w:semiHidden/>
    <w:unhideWhenUsed/>
    <w:rsid w:val="00AD48E2"/>
  </w:style>
  <w:style w:type="paragraph" w:customStyle="1" w:styleId="FootnoteText1">
    <w:name w:val="Footnote Text1"/>
    <w:basedOn w:val="Normal"/>
    <w:next w:val="FootnoteText"/>
    <w:uiPriority w:val="99"/>
    <w:semiHidden/>
    <w:unhideWhenUsed/>
    <w:rsid w:val="00AD48E2"/>
    <w:rPr>
      <w:rFonts w:ascii="Verdana" w:eastAsia="Calibri" w:hAnsi="Verdana"/>
      <w:sz w:val="20"/>
      <w:szCs w:val="20"/>
    </w:rPr>
  </w:style>
  <w:style w:type="numbering" w:customStyle="1" w:styleId="NoList11">
    <w:name w:val="No List11"/>
    <w:next w:val="NoList"/>
    <w:uiPriority w:val="99"/>
    <w:semiHidden/>
    <w:unhideWhenUsed/>
    <w:rsid w:val="00AD48E2"/>
  </w:style>
  <w:style w:type="paragraph" w:customStyle="1" w:styleId="ListParagraph1">
    <w:name w:val="List Paragraph1"/>
    <w:basedOn w:val="Normal"/>
    <w:next w:val="ListParagraph"/>
    <w:uiPriority w:val="34"/>
    <w:qFormat/>
    <w:rsid w:val="00AD48E2"/>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AD48E2"/>
    <w:rPr>
      <w:color w:val="808080"/>
    </w:rPr>
  </w:style>
  <w:style w:type="paragraph" w:customStyle="1" w:styleId="a">
    <w:name w:val="Без разредка"/>
    <w:link w:val="a0"/>
    <w:uiPriority w:val="99"/>
    <w:qFormat/>
    <w:rsid w:val="00AD48E2"/>
    <w:pPr>
      <w:spacing w:after="0" w:line="240" w:lineRule="auto"/>
    </w:pPr>
    <w:rPr>
      <w:rFonts w:ascii="Calibri" w:eastAsia="Calibri" w:hAnsi="Calibri" w:cs="Calibri"/>
      <w:sz w:val="24"/>
      <w:szCs w:val="24"/>
    </w:rPr>
  </w:style>
  <w:style w:type="character" w:customStyle="1" w:styleId="a0">
    <w:name w:val="Без разредка Знак"/>
    <w:link w:val="a"/>
    <w:uiPriority w:val="99"/>
    <w:locked/>
    <w:rsid w:val="00AD48E2"/>
    <w:rPr>
      <w:rFonts w:ascii="Calibri" w:eastAsia="Calibri" w:hAnsi="Calibri" w:cs="Calibri"/>
      <w:sz w:val="24"/>
      <w:szCs w:val="24"/>
    </w:rPr>
  </w:style>
  <w:style w:type="paragraph" w:customStyle="1" w:styleId="BalloonText1">
    <w:name w:val="Balloon Text1"/>
    <w:basedOn w:val="Normal"/>
    <w:next w:val="BalloonText"/>
    <w:uiPriority w:val="99"/>
    <w:semiHidden/>
    <w:unhideWhenUsed/>
    <w:rsid w:val="00AD48E2"/>
    <w:rPr>
      <w:rFonts w:ascii="Tahoma" w:eastAsia="Calibri" w:hAnsi="Tahoma" w:cs="Tahoma"/>
      <w:sz w:val="16"/>
      <w:szCs w:val="16"/>
      <w:lang w:eastAsia="en-US"/>
    </w:rPr>
  </w:style>
  <w:style w:type="paragraph" w:customStyle="1" w:styleId="BalloonText2">
    <w:name w:val="Balloon Text2"/>
    <w:basedOn w:val="Normal"/>
    <w:next w:val="BalloonText"/>
    <w:link w:val="BalloonTextChar1"/>
    <w:uiPriority w:val="99"/>
    <w:semiHidden/>
    <w:unhideWhenUsed/>
    <w:rsid w:val="00AD48E2"/>
    <w:rPr>
      <w:rFonts w:ascii="Tahoma" w:eastAsia="Calibri" w:hAnsi="Tahoma" w:cs="Tahoma"/>
      <w:sz w:val="16"/>
      <w:szCs w:val="16"/>
    </w:rPr>
  </w:style>
  <w:style w:type="character" w:customStyle="1" w:styleId="BalloonTextChar1">
    <w:name w:val="Balloon Text Char1"/>
    <w:link w:val="BalloonText2"/>
    <w:uiPriority w:val="99"/>
    <w:semiHidden/>
    <w:rsid w:val="00AD48E2"/>
    <w:rPr>
      <w:rFonts w:ascii="Tahoma" w:eastAsia="Calibri" w:hAnsi="Tahoma" w:cs="Tahoma"/>
      <w:sz w:val="16"/>
      <w:szCs w:val="16"/>
      <w:lang w:eastAsia="bg-BG"/>
    </w:rPr>
  </w:style>
  <w:style w:type="character" w:customStyle="1" w:styleId="FootnoteTextChar1">
    <w:name w:val="Footnote Text Char1"/>
    <w:rsid w:val="00AD48E2"/>
    <w:rPr>
      <w:color w:val="555555"/>
      <w:lang w:eastAsia="en-US"/>
    </w:rPr>
  </w:style>
  <w:style w:type="character" w:customStyle="1" w:styleId="BalloonTextChar2">
    <w:name w:val="Balloon Text Char2"/>
    <w:uiPriority w:val="99"/>
    <w:semiHidden/>
    <w:rsid w:val="00AD48E2"/>
    <w:rPr>
      <w:rFonts w:ascii="Segoe UI" w:hAnsi="Segoe UI" w:cs="Segoe UI"/>
      <w:color w:val="555555"/>
      <w:sz w:val="18"/>
      <w:szCs w:val="18"/>
      <w:lang w:eastAsia="en-US"/>
    </w:rPr>
  </w:style>
  <w:style w:type="paragraph" w:customStyle="1" w:styleId="Default">
    <w:name w:val="Default"/>
    <w:rsid w:val="00AD48E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AD48E2"/>
  </w:style>
  <w:style w:type="paragraph" w:styleId="NormalWeb">
    <w:name w:val="Normal (Web)"/>
    <w:basedOn w:val="Normal"/>
    <w:uiPriority w:val="99"/>
    <w:unhideWhenUsed/>
    <w:rsid w:val="00AD48E2"/>
    <w:pPr>
      <w:spacing w:before="100" w:beforeAutospacing="1" w:after="100" w:afterAutospacing="1"/>
    </w:pPr>
  </w:style>
  <w:style w:type="character" w:styleId="Emphasis">
    <w:name w:val="Emphasis"/>
    <w:basedOn w:val="DefaultParagraphFont"/>
    <w:uiPriority w:val="20"/>
    <w:qFormat/>
    <w:rsid w:val="00AD48E2"/>
    <w:rPr>
      <w:i/>
      <w:iCs/>
    </w:rPr>
  </w:style>
  <w:style w:type="character" w:styleId="HTMLCite">
    <w:name w:val="HTML Cite"/>
    <w:uiPriority w:val="99"/>
    <w:rsid w:val="00AD48E2"/>
    <w:rPr>
      <w:i w:val="0"/>
      <w:iCs w:val="0"/>
      <w:color w:val="006621"/>
    </w:rPr>
  </w:style>
  <w:style w:type="paragraph" w:customStyle="1" w:styleId="Char">
    <w:name w:val="Char"/>
    <w:basedOn w:val="Normal"/>
    <w:rsid w:val="00AD48E2"/>
    <w:pPr>
      <w:tabs>
        <w:tab w:val="left" w:pos="709"/>
      </w:tabs>
    </w:pPr>
    <w:rPr>
      <w:rFonts w:ascii="Tahoma" w:hAnsi="Tahoma"/>
      <w:lang w:val="pl-PL" w:eastAsia="pl-PL"/>
    </w:rPr>
  </w:style>
  <w:style w:type="character" w:styleId="PageNumber">
    <w:name w:val="page number"/>
    <w:basedOn w:val="DefaultParagraphFont"/>
    <w:rsid w:val="00AD48E2"/>
  </w:style>
  <w:style w:type="paragraph" w:styleId="BodyTextIndent2">
    <w:name w:val="Body Text Indent 2"/>
    <w:basedOn w:val="Normal"/>
    <w:link w:val="BodyTextIndent2Char"/>
    <w:unhideWhenUsed/>
    <w:rsid w:val="00AD48E2"/>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AD48E2"/>
    <w:rPr>
      <w:rFonts w:ascii="Times New Roman" w:eastAsia="Times New Roman" w:hAnsi="Times New Roman" w:cs="Times New Roman"/>
      <w:sz w:val="24"/>
      <w:szCs w:val="24"/>
      <w:lang w:val="en-GB"/>
    </w:rPr>
  </w:style>
  <w:style w:type="paragraph" w:styleId="DocumentMap">
    <w:name w:val="Document Map"/>
    <w:basedOn w:val="Normal"/>
    <w:link w:val="DocumentMapChar"/>
    <w:semiHidden/>
    <w:rsid w:val="00AD48E2"/>
    <w:pPr>
      <w:shd w:val="clear" w:color="auto" w:fill="000080"/>
    </w:pPr>
    <w:rPr>
      <w:rFonts w:ascii="Tahoma" w:eastAsia="MS Mincho" w:hAnsi="Tahoma" w:cs="Tahoma"/>
      <w:lang w:eastAsia="ja-JP"/>
    </w:rPr>
  </w:style>
  <w:style w:type="character" w:customStyle="1" w:styleId="DocumentMapChar">
    <w:name w:val="Document Map Char"/>
    <w:basedOn w:val="DefaultParagraphFont"/>
    <w:link w:val="DocumentMap"/>
    <w:semiHidden/>
    <w:rsid w:val="00AD48E2"/>
    <w:rPr>
      <w:rFonts w:ascii="Tahoma" w:eastAsia="MS Mincho" w:hAnsi="Tahoma" w:cs="Tahoma"/>
      <w:sz w:val="24"/>
      <w:szCs w:val="24"/>
      <w:shd w:val="clear" w:color="auto" w:fill="000080"/>
      <w:lang w:eastAsia="ja-JP"/>
    </w:rPr>
  </w:style>
  <w:style w:type="paragraph" w:styleId="BodyTextIndent3">
    <w:name w:val="Body Text Indent 3"/>
    <w:basedOn w:val="Normal"/>
    <w:link w:val="BodyTextIndent3Char"/>
    <w:rsid w:val="00AD48E2"/>
    <w:pPr>
      <w:ind w:firstLine="720"/>
      <w:jc w:val="both"/>
    </w:pPr>
    <w:rPr>
      <w:szCs w:val="20"/>
      <w:u w:val="single"/>
    </w:rPr>
  </w:style>
  <w:style w:type="character" w:customStyle="1" w:styleId="BodyTextIndent3Char">
    <w:name w:val="Body Text Indent 3 Char"/>
    <w:basedOn w:val="DefaultParagraphFont"/>
    <w:link w:val="BodyTextIndent3"/>
    <w:rsid w:val="00AD48E2"/>
    <w:rPr>
      <w:rFonts w:ascii="Times New Roman" w:eastAsia="Times New Roman" w:hAnsi="Times New Roman" w:cs="Times New Roman"/>
      <w:sz w:val="24"/>
      <w:szCs w:val="20"/>
      <w:u w:val="single"/>
      <w:lang w:eastAsia="bg-BG"/>
    </w:rPr>
  </w:style>
  <w:style w:type="character" w:customStyle="1" w:styleId="apple-style-span">
    <w:name w:val="apple-style-span"/>
    <w:basedOn w:val="DefaultParagraphFont"/>
    <w:rsid w:val="00AD48E2"/>
  </w:style>
  <w:style w:type="table" w:styleId="LightList-Accent1">
    <w:name w:val="Light List Accent 1"/>
    <w:basedOn w:val="TableNormal"/>
    <w:uiPriority w:val="61"/>
    <w:rsid w:val="00AD48E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D48E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rsid w:val="00AD48E2"/>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US"/>
    </w:rPr>
  </w:style>
  <w:style w:type="paragraph" w:customStyle="1" w:styleId="berschrift1">
    <w:name w:val="Überschrift 1"/>
    <w:rsid w:val="00AD48E2"/>
    <w:pPr>
      <w:keepNext/>
      <w:pBdr>
        <w:top w:val="nil"/>
        <w:left w:val="nil"/>
        <w:bottom w:val="nil"/>
        <w:right w:val="nil"/>
        <w:between w:val="nil"/>
        <w:bar w:val="nil"/>
      </w:pBdr>
      <w:spacing w:after="0" w:line="240" w:lineRule="auto"/>
      <w:jc w:val="right"/>
      <w:outlineLvl w:val="0"/>
    </w:pPr>
    <w:rPr>
      <w:rFonts w:ascii="Times New Roman Bold" w:eastAsia="Arial Unicode MS" w:hAnsi="Arial Unicode MS" w:cs="Arial Unicode MS"/>
      <w:color w:val="000000"/>
      <w:sz w:val="28"/>
      <w:szCs w:val="28"/>
      <w:u w:color="000000"/>
      <w:bdr w:val="nil"/>
      <w:lang w:val="en-US"/>
    </w:rPr>
  </w:style>
  <w:style w:type="paragraph" w:customStyle="1" w:styleId="Standard">
    <w:name w:val="Standard"/>
    <w:rsid w:val="00AD48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numbering" w:customStyle="1" w:styleId="List0">
    <w:name w:val="List 0"/>
    <w:basedOn w:val="Bullet"/>
    <w:rsid w:val="00AD48E2"/>
    <w:pPr>
      <w:numPr>
        <w:numId w:val="1"/>
      </w:numPr>
    </w:pPr>
  </w:style>
  <w:style w:type="numbering" w:customStyle="1" w:styleId="Bullet">
    <w:name w:val="Bullet"/>
    <w:rsid w:val="00AD48E2"/>
    <w:pPr>
      <w:numPr>
        <w:numId w:val="2"/>
      </w:numPr>
    </w:pPr>
  </w:style>
  <w:style w:type="paragraph" w:customStyle="1" w:styleId="Funotentext">
    <w:name w:val="Fußnotentext"/>
    <w:rsid w:val="00AD48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numbering" w:customStyle="1" w:styleId="List1">
    <w:name w:val="List 1"/>
    <w:basedOn w:val="Bullet"/>
    <w:rsid w:val="00AD48E2"/>
    <w:pPr>
      <w:numPr>
        <w:numId w:val="3"/>
      </w:numPr>
    </w:pPr>
  </w:style>
  <w:style w:type="character" w:customStyle="1" w:styleId="Link">
    <w:name w:val="Link"/>
    <w:rsid w:val="00AD48E2"/>
    <w:rPr>
      <w:u w:val="single"/>
    </w:rPr>
  </w:style>
  <w:style w:type="character" w:customStyle="1" w:styleId="Hyperlink0">
    <w:name w:val="Hyperlink.0"/>
    <w:basedOn w:val="Link"/>
    <w:rsid w:val="00AD48E2"/>
    <w:rPr>
      <w:sz w:val="24"/>
      <w:szCs w:val="24"/>
      <w:u w:val="single"/>
    </w:rPr>
  </w:style>
  <w:style w:type="numbering" w:customStyle="1" w:styleId="List21">
    <w:name w:val="List 21"/>
    <w:basedOn w:val="NoList"/>
    <w:rsid w:val="00AD48E2"/>
    <w:pPr>
      <w:numPr>
        <w:numId w:val="4"/>
      </w:numPr>
    </w:pPr>
  </w:style>
  <w:style w:type="paragraph" w:customStyle="1" w:styleId="TableStyle2">
    <w:name w:val="Table Style 2"/>
    <w:rsid w:val="00AD48E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Hyperlink1">
    <w:name w:val="Hyperlink.1"/>
    <w:basedOn w:val="Link"/>
    <w:rsid w:val="00AD48E2"/>
    <w:rPr>
      <w:u w:val="none"/>
    </w:rPr>
  </w:style>
  <w:style w:type="paragraph" w:customStyle="1" w:styleId="Heading">
    <w:name w:val="Heading"/>
    <w:next w:val="Body"/>
    <w:rsid w:val="00AD48E2"/>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val="en-US"/>
    </w:rPr>
  </w:style>
  <w:style w:type="numbering" w:customStyle="1" w:styleId="List31">
    <w:name w:val="List 31"/>
    <w:basedOn w:val="NoList"/>
    <w:rsid w:val="00AD48E2"/>
    <w:pPr>
      <w:numPr>
        <w:numId w:val="9"/>
      </w:numPr>
    </w:pPr>
  </w:style>
  <w:style w:type="paragraph" w:customStyle="1" w:styleId="a1">
    <w:name w:val="Грофика"/>
    <w:rsid w:val="00AD48E2"/>
    <w:pPr>
      <w:pBdr>
        <w:top w:val="nil"/>
        <w:left w:val="nil"/>
        <w:bottom w:val="nil"/>
        <w:right w:val="nil"/>
        <w:between w:val="nil"/>
        <w:bar w:val="nil"/>
      </w:pBdr>
      <w:spacing w:before="80" w:after="80" w:line="240" w:lineRule="auto"/>
      <w:jc w:val="center"/>
    </w:pPr>
    <w:rPr>
      <w:rFonts w:ascii="Arial Unicode MS" w:eastAsia="Arial Unicode MS" w:hAnsi="Times New Roman" w:cs="Arial Unicode MS"/>
      <w:i/>
      <w:iCs/>
      <w:color w:val="000000"/>
      <w:bdr w:val="nil"/>
      <w:lang w:val="en-US"/>
    </w:rPr>
  </w:style>
  <w:style w:type="numbering" w:customStyle="1" w:styleId="List41">
    <w:name w:val="List 41"/>
    <w:basedOn w:val="Numbered"/>
    <w:rsid w:val="00AD48E2"/>
    <w:pPr>
      <w:numPr>
        <w:numId w:val="5"/>
      </w:numPr>
    </w:pPr>
  </w:style>
  <w:style w:type="numbering" w:customStyle="1" w:styleId="Numbered">
    <w:name w:val="Numbered"/>
    <w:rsid w:val="00AD48E2"/>
    <w:pPr>
      <w:numPr>
        <w:numId w:val="6"/>
      </w:numPr>
    </w:pPr>
  </w:style>
  <w:style w:type="numbering" w:customStyle="1" w:styleId="List51">
    <w:name w:val="List 51"/>
    <w:basedOn w:val="Numbered"/>
    <w:rsid w:val="00AD48E2"/>
    <w:pPr>
      <w:numPr>
        <w:numId w:val="8"/>
      </w:numPr>
    </w:pPr>
  </w:style>
  <w:style w:type="character" w:customStyle="1" w:styleId="hps">
    <w:name w:val="hps"/>
    <w:rsid w:val="00AD48E2"/>
  </w:style>
  <w:style w:type="character" w:customStyle="1" w:styleId="shorttext">
    <w:name w:val="short_text"/>
    <w:rsid w:val="00AD48E2"/>
  </w:style>
  <w:style w:type="character" w:customStyle="1" w:styleId="st">
    <w:name w:val="st"/>
    <w:basedOn w:val="DefaultParagraphFont"/>
    <w:rsid w:val="00AD48E2"/>
  </w:style>
  <w:style w:type="paragraph" w:customStyle="1" w:styleId="NormalJustified">
    <w:name w:val="Normal + Justified"/>
    <w:aliases w:val="Before:  6 pt"/>
    <w:basedOn w:val="NormalWeb"/>
    <w:rsid w:val="00AD48E2"/>
    <w:pPr>
      <w:spacing w:before="120" w:beforeAutospacing="0" w:after="0" w:afterAutospacing="0" w:line="360" w:lineRule="auto"/>
      <w:jc w:val="center"/>
    </w:pPr>
    <w:rPr>
      <w:sz w:val="28"/>
      <w:szCs w:val="28"/>
    </w:rPr>
  </w:style>
  <w:style w:type="character" w:styleId="BookTitle">
    <w:name w:val="Book Title"/>
    <w:basedOn w:val="DefaultParagraphFont"/>
    <w:uiPriority w:val="33"/>
    <w:qFormat/>
    <w:rsid w:val="00AD48E2"/>
    <w:rPr>
      <w:b/>
      <w:bCs/>
      <w:caps w:val="0"/>
      <w:smallCaps/>
      <w:spacing w:val="10"/>
    </w:rPr>
  </w:style>
  <w:style w:type="character" w:styleId="IntenseEmphasis">
    <w:name w:val="Intense Emphasis"/>
    <w:basedOn w:val="DefaultParagraphFont"/>
    <w:uiPriority w:val="21"/>
    <w:qFormat/>
    <w:rsid w:val="00AD48E2"/>
    <w:rPr>
      <w:b/>
      <w:bCs/>
      <w:i/>
      <w:iCs/>
      <w:color w:val="auto"/>
    </w:rPr>
  </w:style>
  <w:style w:type="paragraph" w:styleId="IntenseQuote">
    <w:name w:val="Intense Quote"/>
    <w:basedOn w:val="Normal"/>
    <w:next w:val="Normal"/>
    <w:link w:val="IntenseQuoteChar"/>
    <w:uiPriority w:val="30"/>
    <w:qFormat/>
    <w:rsid w:val="00AD48E2"/>
    <w:pPr>
      <w:pBdr>
        <w:left w:val="single" w:sz="36" w:space="4" w:color="4F81BD" w:themeColor="accent1"/>
      </w:pBdr>
      <w:spacing w:before="100" w:beforeAutospacing="1" w:after="160" w:line="300" w:lineRule="auto"/>
      <w:ind w:left="1224" w:right="1224"/>
    </w:pPr>
    <w:rPr>
      <w:rFonts w:asciiTheme="minorHAnsi" w:eastAsiaTheme="minorEastAsia" w:hAnsiTheme="minorHAnsi" w:cstheme="minorBidi"/>
      <w:color w:val="4F81BD" w:themeColor="accent1"/>
      <w:sz w:val="28"/>
      <w:szCs w:val="28"/>
      <w:lang w:val="en-US" w:eastAsia="ja-JP"/>
    </w:rPr>
  </w:style>
  <w:style w:type="character" w:customStyle="1" w:styleId="IntenseQuoteChar">
    <w:name w:val="Intense Quote Char"/>
    <w:basedOn w:val="DefaultParagraphFont"/>
    <w:link w:val="IntenseQuote"/>
    <w:uiPriority w:val="30"/>
    <w:rsid w:val="00AD48E2"/>
    <w:rPr>
      <w:rFonts w:eastAsiaTheme="minorEastAsia"/>
      <w:color w:val="4F81BD" w:themeColor="accent1"/>
      <w:sz w:val="28"/>
      <w:szCs w:val="28"/>
      <w:lang w:val="en-US" w:eastAsia="ja-JP"/>
    </w:rPr>
  </w:style>
  <w:style w:type="character" w:styleId="IntenseReference">
    <w:name w:val="Intense Reference"/>
    <w:basedOn w:val="DefaultParagraphFont"/>
    <w:uiPriority w:val="32"/>
    <w:qFormat/>
    <w:rsid w:val="00AD48E2"/>
    <w:rPr>
      <w:b/>
      <w:bCs/>
      <w:caps w:val="0"/>
      <w:smallCaps/>
      <w:color w:val="auto"/>
      <w:spacing w:val="5"/>
      <w:u w:val="single"/>
    </w:rPr>
  </w:style>
  <w:style w:type="character" w:styleId="FollowedHyperlink">
    <w:name w:val="FollowedHyperlink"/>
    <w:basedOn w:val="DefaultParagraphFont"/>
    <w:unhideWhenUsed/>
    <w:rsid w:val="00AD48E2"/>
    <w:rPr>
      <w:color w:val="800080" w:themeColor="followedHyperlink"/>
      <w:u w:val="single"/>
    </w:rPr>
  </w:style>
  <w:style w:type="paragraph" w:styleId="NoSpacing">
    <w:name w:val="No Spacing"/>
    <w:link w:val="NoSpacingChar"/>
    <w:uiPriority w:val="1"/>
    <w:qFormat/>
    <w:rsid w:val="00AD48E2"/>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AD48E2"/>
    <w:rPr>
      <w:rFonts w:eastAsiaTheme="minorEastAsia"/>
      <w:sz w:val="17"/>
      <w:szCs w:val="17"/>
      <w:lang w:val="en-US" w:eastAsia="ja-JP"/>
    </w:rPr>
  </w:style>
  <w:style w:type="paragraph" w:styleId="Quote">
    <w:name w:val="Quote"/>
    <w:basedOn w:val="Normal"/>
    <w:next w:val="Normal"/>
    <w:link w:val="QuoteChar"/>
    <w:uiPriority w:val="29"/>
    <w:qFormat/>
    <w:rsid w:val="00AD48E2"/>
    <w:pPr>
      <w:spacing w:before="160" w:after="160" w:line="300" w:lineRule="auto"/>
      <w:ind w:left="864" w:right="864"/>
    </w:pPr>
    <w:rPr>
      <w:rFonts w:asciiTheme="majorHAnsi" w:eastAsiaTheme="majorEastAsia" w:hAnsiTheme="majorHAnsi" w:cstheme="majorBidi"/>
      <w:sz w:val="17"/>
      <w:szCs w:val="17"/>
      <w:lang w:val="en-US" w:eastAsia="ja-JP"/>
    </w:rPr>
  </w:style>
  <w:style w:type="character" w:customStyle="1" w:styleId="QuoteChar">
    <w:name w:val="Quote Char"/>
    <w:basedOn w:val="DefaultParagraphFont"/>
    <w:link w:val="Quote"/>
    <w:uiPriority w:val="29"/>
    <w:rsid w:val="00AD48E2"/>
    <w:rPr>
      <w:rFonts w:asciiTheme="majorHAnsi" w:eastAsiaTheme="majorEastAsia" w:hAnsiTheme="majorHAnsi" w:cstheme="majorBidi"/>
      <w:sz w:val="17"/>
      <w:szCs w:val="17"/>
      <w:lang w:val="en-US" w:eastAsia="ja-JP"/>
    </w:rPr>
  </w:style>
  <w:style w:type="character" w:styleId="Strong">
    <w:name w:val="Strong"/>
    <w:basedOn w:val="DefaultParagraphFont"/>
    <w:uiPriority w:val="22"/>
    <w:qFormat/>
    <w:rsid w:val="00AD48E2"/>
    <w:rPr>
      <w:b/>
      <w:bCs/>
    </w:rPr>
  </w:style>
  <w:style w:type="paragraph" w:styleId="Subtitle">
    <w:name w:val="Subtitle"/>
    <w:basedOn w:val="Normal"/>
    <w:next w:val="Normal"/>
    <w:link w:val="SubtitleChar"/>
    <w:uiPriority w:val="11"/>
    <w:qFormat/>
    <w:rsid w:val="00AD48E2"/>
    <w:pPr>
      <w:numPr>
        <w:ilvl w:val="1"/>
      </w:numPr>
      <w:spacing w:after="160" w:line="300" w:lineRule="auto"/>
    </w:pPr>
    <w:rPr>
      <w:rFonts w:asciiTheme="minorHAnsi" w:eastAsiaTheme="minorEastAsia" w:hAnsiTheme="minorHAnsi" w:cstheme="minorBidi"/>
      <w:sz w:val="28"/>
      <w:szCs w:val="28"/>
      <w:lang w:val="en-US" w:eastAsia="ja-JP"/>
    </w:rPr>
  </w:style>
  <w:style w:type="character" w:customStyle="1" w:styleId="SubtitleChar">
    <w:name w:val="Subtitle Char"/>
    <w:basedOn w:val="DefaultParagraphFont"/>
    <w:link w:val="Subtitle"/>
    <w:uiPriority w:val="11"/>
    <w:rsid w:val="00AD48E2"/>
    <w:rPr>
      <w:rFonts w:eastAsiaTheme="minorEastAsia"/>
      <w:sz w:val="28"/>
      <w:szCs w:val="28"/>
      <w:lang w:val="en-US" w:eastAsia="ja-JP"/>
    </w:rPr>
  </w:style>
  <w:style w:type="character" w:styleId="SubtleEmphasis">
    <w:name w:val="Subtle Emphasis"/>
    <w:basedOn w:val="DefaultParagraphFont"/>
    <w:uiPriority w:val="19"/>
    <w:qFormat/>
    <w:rsid w:val="00AD48E2"/>
    <w:rPr>
      <w:i/>
      <w:iCs/>
      <w:color w:val="595959" w:themeColor="text1" w:themeTint="A6"/>
    </w:rPr>
  </w:style>
  <w:style w:type="character" w:styleId="SubtleReference">
    <w:name w:val="Subtle Reference"/>
    <w:basedOn w:val="DefaultParagraphFont"/>
    <w:uiPriority w:val="31"/>
    <w:qFormat/>
    <w:rsid w:val="00AD48E2"/>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AD48E2"/>
    <w:pPr>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TitleChar">
    <w:name w:val="Title Char"/>
    <w:basedOn w:val="DefaultParagraphFont"/>
    <w:link w:val="Title"/>
    <w:uiPriority w:val="10"/>
    <w:rsid w:val="00AD48E2"/>
    <w:rPr>
      <w:rFonts w:asciiTheme="majorHAnsi" w:eastAsiaTheme="majorEastAsia" w:hAnsiTheme="majorHAnsi" w:cstheme="majorBidi"/>
      <w:color w:val="4F81BD" w:themeColor="accent1"/>
      <w:kern w:val="28"/>
      <w:sz w:val="72"/>
      <w:szCs w:val="72"/>
      <w:lang w:val="en-US" w:eastAsia="ja-JP"/>
    </w:rPr>
  </w:style>
  <w:style w:type="character" w:customStyle="1" w:styleId="purchaseprice">
    <w:name w:val="purchaseprice"/>
    <w:basedOn w:val="DefaultParagraphFont"/>
    <w:rsid w:val="00AD48E2"/>
  </w:style>
  <w:style w:type="paragraph" w:customStyle="1" w:styleId="a2">
    <w:name w:val="сергей"/>
    <w:basedOn w:val="Normal"/>
    <w:rsid w:val="00AD48E2"/>
    <w:pPr>
      <w:autoSpaceDE w:val="0"/>
      <w:autoSpaceDN w:val="0"/>
      <w:spacing w:line="480" w:lineRule="auto"/>
      <w:ind w:firstLine="709"/>
      <w:jc w:val="both"/>
    </w:pPr>
    <w:rPr>
      <w:rFonts w:ascii="Arial" w:hAnsi="Arial" w:cs="Arial"/>
      <w:sz w:val="26"/>
      <w:szCs w:val="26"/>
      <w:lang w:val="ru-RU" w:eastAsia="en-US"/>
    </w:rPr>
  </w:style>
  <w:style w:type="character" w:customStyle="1" w:styleId="tt1">
    <w:name w:val="tt1"/>
    <w:basedOn w:val="DefaultParagraphFont"/>
    <w:rsid w:val="00AD48E2"/>
    <w:rPr>
      <w:rFonts w:ascii="Verdana" w:hAnsi="Verdana" w:hint="default"/>
      <w:b w:val="0"/>
      <w:bCs w:val="0"/>
      <w:strike w:val="0"/>
      <w:dstrike w:val="0"/>
      <w:color w:val="000000"/>
      <w:sz w:val="17"/>
      <w:szCs w:val="17"/>
      <w:u w:val="none"/>
      <w:effect w:val="none"/>
    </w:rPr>
  </w:style>
  <w:style w:type="character" w:customStyle="1" w:styleId="itemtitle">
    <w:name w:val="itemtitle"/>
    <w:basedOn w:val="DefaultParagraphFont"/>
    <w:rsid w:val="00AD48E2"/>
  </w:style>
  <w:style w:type="character" w:customStyle="1" w:styleId="itemposter">
    <w:name w:val="itemposter"/>
    <w:basedOn w:val="DefaultParagraphFont"/>
    <w:rsid w:val="00AD48E2"/>
  </w:style>
  <w:style w:type="character" w:customStyle="1" w:styleId="itempostdate">
    <w:name w:val="itempostdate"/>
    <w:basedOn w:val="DefaultParagraphFont"/>
    <w:rsid w:val="00AD48E2"/>
  </w:style>
  <w:style w:type="paragraph" w:customStyle="1" w:styleId="itemtext">
    <w:name w:val="itemtext"/>
    <w:basedOn w:val="Normal"/>
    <w:rsid w:val="00AD48E2"/>
    <w:pPr>
      <w:spacing w:before="100" w:beforeAutospacing="1" w:after="100" w:afterAutospacing="1"/>
    </w:pPr>
  </w:style>
  <w:style w:type="character" w:customStyle="1" w:styleId="mw-headline">
    <w:name w:val="mw-headline"/>
    <w:basedOn w:val="DefaultParagraphFont"/>
    <w:rsid w:val="00AD48E2"/>
  </w:style>
  <w:style w:type="paragraph" w:styleId="HTMLPreformatted">
    <w:name w:val="HTML Preformatted"/>
    <w:basedOn w:val="Normal"/>
    <w:link w:val="HTMLPreformattedChar"/>
    <w:rsid w:val="00AD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AD48E2"/>
    <w:rPr>
      <w:rFonts w:ascii="Courier New" w:eastAsia="Batang" w:hAnsi="Courier New" w:cs="Courier New"/>
      <w:sz w:val="20"/>
      <w:szCs w:val="20"/>
      <w:lang w:eastAsia="ko-KR"/>
    </w:rPr>
  </w:style>
  <w:style w:type="character" w:customStyle="1" w:styleId="editsection">
    <w:name w:val="editsection"/>
    <w:basedOn w:val="DefaultParagraphFont"/>
    <w:rsid w:val="00AD48E2"/>
  </w:style>
  <w:style w:type="paragraph" w:customStyle="1" w:styleId="DefinitionTerm">
    <w:name w:val="Definition Term"/>
    <w:basedOn w:val="Normal"/>
    <w:next w:val="Normal"/>
    <w:rsid w:val="00AD48E2"/>
    <w:pPr>
      <w:overflowPunct w:val="0"/>
      <w:autoSpaceDE w:val="0"/>
      <w:autoSpaceDN w:val="0"/>
      <w:adjustRightInd w:val="0"/>
      <w:textAlignment w:val="baseline"/>
    </w:pPr>
    <w:rPr>
      <w:szCs w:val="20"/>
      <w:lang w:val="ru-RU" w:eastAsia="uk-UA"/>
    </w:rPr>
  </w:style>
  <w:style w:type="paragraph" w:customStyle="1" w:styleId="a3">
    <w:name w:val="......."/>
    <w:basedOn w:val="Default"/>
    <w:next w:val="Default"/>
    <w:rsid w:val="00AD48E2"/>
    <w:rPr>
      <w:rFonts w:ascii="Times New Roman" w:eastAsia="Batang" w:hAnsi="Times New Roman" w:cs="Times New Roman"/>
      <w:color w:val="auto"/>
      <w:lang w:eastAsia="ko-KR"/>
    </w:rPr>
  </w:style>
  <w:style w:type="character" w:customStyle="1" w:styleId="librios-ddef">
    <w:name w:val="librios-ddef"/>
    <w:basedOn w:val="DefaultParagraphFont"/>
    <w:rsid w:val="00AD48E2"/>
  </w:style>
  <w:style w:type="character" w:customStyle="1" w:styleId="nlmsource">
    <w:name w:val="nlm_source"/>
    <w:basedOn w:val="DefaultParagraphFont"/>
    <w:rsid w:val="00AD48E2"/>
  </w:style>
  <w:style w:type="paragraph" w:customStyle="1" w:styleId="heading5indent2">
    <w:name w:val="heading5indent2"/>
    <w:basedOn w:val="Normal"/>
    <w:rsid w:val="00AD48E2"/>
    <w:pPr>
      <w:spacing w:before="100" w:beforeAutospacing="1" w:after="100" w:afterAutospacing="1"/>
    </w:pPr>
    <w:rPr>
      <w:rFonts w:eastAsia="SimSun"/>
      <w:lang w:eastAsia="zh-CN"/>
    </w:rPr>
  </w:style>
  <w:style w:type="paragraph" w:customStyle="1" w:styleId="handbookg">
    <w:name w:val="handbookg"/>
    <w:basedOn w:val="Normal"/>
    <w:rsid w:val="00AD48E2"/>
    <w:pPr>
      <w:spacing w:before="100" w:beforeAutospacing="1" w:after="100" w:afterAutospacing="1"/>
    </w:pPr>
    <w:rPr>
      <w:rFonts w:eastAsia="SimSun"/>
      <w:lang w:eastAsia="zh-CN"/>
    </w:rPr>
  </w:style>
  <w:style w:type="paragraph" w:customStyle="1" w:styleId="handbookg1stindent">
    <w:name w:val="handbookg1stindent"/>
    <w:basedOn w:val="Normal"/>
    <w:rsid w:val="00AD48E2"/>
    <w:pPr>
      <w:spacing w:before="100" w:beforeAutospacing="1" w:after="100" w:afterAutospacing="1"/>
    </w:pPr>
    <w:rPr>
      <w:rFonts w:eastAsia="SimSun"/>
      <w:lang w:eastAsia="zh-CN"/>
    </w:rPr>
  </w:style>
  <w:style w:type="paragraph" w:customStyle="1" w:styleId="notesindent4">
    <w:name w:val="notesindent4"/>
    <w:basedOn w:val="Normal"/>
    <w:rsid w:val="00AD48E2"/>
    <w:pPr>
      <w:spacing w:before="100" w:beforeAutospacing="1" w:after="100" w:afterAutospacing="1"/>
    </w:pPr>
    <w:rPr>
      <w:rFonts w:eastAsia="SimSun"/>
      <w:lang w:eastAsia="zh-CN"/>
    </w:rPr>
  </w:style>
  <w:style w:type="paragraph" w:customStyle="1" w:styleId="para">
    <w:name w:val="para"/>
    <w:basedOn w:val="Normal"/>
    <w:rsid w:val="00AD48E2"/>
    <w:pPr>
      <w:spacing w:before="100" w:beforeAutospacing="1" w:after="100" w:afterAutospacing="1"/>
    </w:pPr>
    <w:rPr>
      <w:rFonts w:eastAsia="SimSun"/>
      <w:lang w:eastAsia="zh-CN"/>
    </w:rPr>
  </w:style>
  <w:style w:type="character" w:customStyle="1" w:styleId="reference-accessdate">
    <w:name w:val="reference-accessdate"/>
    <w:basedOn w:val="DefaultParagraphFont"/>
    <w:rsid w:val="00AD48E2"/>
  </w:style>
  <w:style w:type="character" w:customStyle="1" w:styleId="postbody1">
    <w:name w:val="postbody1"/>
    <w:basedOn w:val="DefaultParagraphFont"/>
    <w:rsid w:val="00AD48E2"/>
    <w:rPr>
      <w:sz w:val="18"/>
      <w:szCs w:val="18"/>
    </w:rPr>
  </w:style>
  <w:style w:type="paragraph" w:customStyle="1" w:styleId="authorgroup">
    <w:name w:val="authorgroup"/>
    <w:basedOn w:val="Normal"/>
    <w:rsid w:val="00AD48E2"/>
    <w:pPr>
      <w:spacing w:before="100" w:beforeAutospacing="1" w:after="100" w:afterAutospacing="1"/>
    </w:pPr>
    <w:rPr>
      <w:rFonts w:eastAsia="SimSun"/>
      <w:b/>
      <w:bCs/>
      <w:lang w:eastAsia="zh-CN"/>
    </w:rPr>
  </w:style>
  <w:style w:type="character" w:customStyle="1" w:styleId="copyright2">
    <w:name w:val="copyright2"/>
    <w:basedOn w:val="DefaultParagraphFont"/>
    <w:rsid w:val="00AD48E2"/>
  </w:style>
  <w:style w:type="paragraph" w:customStyle="1" w:styleId="BogidarStyle">
    <w:name w:val="Bogidar Style"/>
    <w:basedOn w:val="Normal"/>
    <w:rsid w:val="00AD48E2"/>
    <w:pPr>
      <w:numPr>
        <w:numId w:val="7"/>
      </w:numPr>
      <w:spacing w:before="240" w:after="120"/>
      <w:jc w:val="both"/>
    </w:pPr>
    <w:rPr>
      <w:rFonts w:ascii="Arial" w:hAnsi="Arial" w:cs="Arial"/>
      <w:noProof/>
      <w:lang w:val="en-US" w:eastAsia="en-US"/>
    </w:rPr>
  </w:style>
  <w:style w:type="paragraph" w:customStyle="1" w:styleId="BogdarStyle1">
    <w:name w:val="Bogdar Style1"/>
    <w:basedOn w:val="Normal"/>
    <w:rsid w:val="00AD48E2"/>
    <w:pPr>
      <w:numPr>
        <w:ilvl w:val="1"/>
        <w:numId w:val="7"/>
      </w:numPr>
      <w:jc w:val="both"/>
    </w:pPr>
    <w:rPr>
      <w:rFonts w:ascii="Arial" w:hAnsi="Arial" w:cs="Arial"/>
      <w:noProof/>
      <w:lang w:eastAsia="en-US"/>
    </w:rPr>
  </w:style>
  <w:style w:type="paragraph" w:customStyle="1" w:styleId="actions">
    <w:name w:val="actions"/>
    <w:basedOn w:val="Normal"/>
    <w:rsid w:val="00AD48E2"/>
    <w:pPr>
      <w:spacing w:before="100" w:beforeAutospacing="1" w:after="100" w:afterAutospacing="1"/>
    </w:pPr>
    <w:rPr>
      <w:rFonts w:eastAsia="SimSun"/>
      <w:lang w:eastAsia="zh-CN"/>
    </w:rPr>
  </w:style>
  <w:style w:type="paragraph" w:customStyle="1" w:styleId="illustration">
    <w:name w:val="illustration"/>
    <w:basedOn w:val="Normal"/>
    <w:rsid w:val="00AD48E2"/>
    <w:pPr>
      <w:spacing w:before="100" w:beforeAutospacing="1" w:after="100" w:afterAutospacing="1"/>
    </w:pPr>
    <w:rPr>
      <w:rFonts w:eastAsia="SimSun"/>
      <w:lang w:eastAsia="zh-CN"/>
    </w:rPr>
  </w:style>
  <w:style w:type="paragraph" w:customStyle="1" w:styleId="body0">
    <w:name w:val="body"/>
    <w:basedOn w:val="Normal"/>
    <w:rsid w:val="00AD48E2"/>
    <w:pPr>
      <w:spacing w:line="360" w:lineRule="auto"/>
      <w:ind w:firstLine="375"/>
      <w:jc w:val="both"/>
    </w:pPr>
    <w:rPr>
      <w:color w:val="000000"/>
    </w:rPr>
  </w:style>
  <w:style w:type="paragraph" w:customStyle="1" w:styleId="centerimgp">
    <w:name w:val="center_img_p"/>
    <w:basedOn w:val="Normal"/>
    <w:rsid w:val="00AD48E2"/>
    <w:pPr>
      <w:spacing w:before="180" w:after="180"/>
      <w:jc w:val="center"/>
    </w:pPr>
  </w:style>
  <w:style w:type="paragraph" w:customStyle="1" w:styleId="BodyText1">
    <w:name w:val="Body Text1"/>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paragraph" w:styleId="BodyText2">
    <w:name w:val="Body Text 2"/>
    <w:basedOn w:val="Normal"/>
    <w:link w:val="BodyText2Char"/>
    <w:semiHidden/>
    <w:unhideWhenUsed/>
    <w:rsid w:val="00AD48E2"/>
    <w:pPr>
      <w:spacing w:after="120" w:line="480" w:lineRule="auto"/>
    </w:pPr>
    <w:rPr>
      <w:lang w:eastAsia="en-US"/>
    </w:rPr>
  </w:style>
  <w:style w:type="character" w:customStyle="1" w:styleId="BodyText2Char">
    <w:name w:val="Body Text 2 Char"/>
    <w:basedOn w:val="DefaultParagraphFont"/>
    <w:link w:val="BodyText2"/>
    <w:semiHidden/>
    <w:rsid w:val="00AD48E2"/>
    <w:rPr>
      <w:rFonts w:ascii="Times New Roman" w:eastAsia="Times New Roman" w:hAnsi="Times New Roman" w:cs="Times New Roman"/>
      <w:sz w:val="24"/>
      <w:szCs w:val="24"/>
    </w:rPr>
  </w:style>
  <w:style w:type="paragraph" w:customStyle="1" w:styleId="BodyText20">
    <w:name w:val="Body Text2"/>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paragraph" w:customStyle="1" w:styleId="copy1">
    <w:name w:val="copy1"/>
    <w:basedOn w:val="Normal"/>
    <w:rsid w:val="00AD48E2"/>
    <w:pPr>
      <w:spacing w:before="75" w:after="75"/>
    </w:pPr>
    <w:rPr>
      <w:sz w:val="21"/>
      <w:szCs w:val="21"/>
    </w:rPr>
  </w:style>
  <w:style w:type="character" w:customStyle="1" w:styleId="a4">
    <w:name w:val="Основной текст_"/>
    <w:basedOn w:val="DefaultParagraphFont"/>
    <w:link w:val="1"/>
    <w:locked/>
    <w:rsid w:val="00AD48E2"/>
    <w:rPr>
      <w:sz w:val="27"/>
      <w:szCs w:val="27"/>
      <w:shd w:val="clear" w:color="auto" w:fill="FFFFFF"/>
    </w:rPr>
  </w:style>
  <w:style w:type="paragraph" w:customStyle="1" w:styleId="1">
    <w:name w:val="Основной текст1"/>
    <w:basedOn w:val="Normal"/>
    <w:link w:val="a4"/>
    <w:rsid w:val="00AD48E2"/>
    <w:pPr>
      <w:shd w:val="clear" w:color="auto" w:fill="FFFFFF"/>
      <w:spacing w:before="1680" w:after="5460" w:line="317" w:lineRule="exact"/>
      <w:ind w:hanging="680"/>
      <w:jc w:val="center"/>
    </w:pPr>
    <w:rPr>
      <w:rFonts w:asciiTheme="minorHAnsi" w:eastAsiaTheme="minorHAnsi" w:hAnsiTheme="minorHAnsi" w:cstheme="minorBidi"/>
      <w:sz w:val="27"/>
      <w:szCs w:val="27"/>
      <w:lang w:eastAsia="en-US"/>
    </w:rPr>
  </w:style>
  <w:style w:type="paragraph" w:customStyle="1" w:styleId="BodyText3">
    <w:name w:val="Body Text3"/>
    <w:rsid w:val="00AD48E2"/>
    <w:pPr>
      <w:snapToGrid w:val="0"/>
      <w:spacing w:after="0" w:line="360" w:lineRule="auto"/>
      <w:ind w:left="567" w:right="567" w:firstLine="709"/>
    </w:pPr>
    <w:rPr>
      <w:rFonts w:ascii="Times New Roman" w:eastAsia="Times New Roman" w:hAnsi="Times New Roman" w:cs="Times New Roman"/>
      <w:color w:val="000000"/>
      <w:sz w:val="24"/>
      <w:szCs w:val="20"/>
    </w:rPr>
  </w:style>
  <w:style w:type="character" w:customStyle="1" w:styleId="a5">
    <w:name w:val="Обычный (веб) Знак"/>
    <w:basedOn w:val="DefaultParagraphFont"/>
    <w:link w:val="msonormalbullet2gif"/>
    <w:locked/>
    <w:rsid w:val="00AD48E2"/>
    <w:rPr>
      <w:sz w:val="24"/>
      <w:szCs w:val="24"/>
      <w:lang w:eastAsia="ru-RU"/>
    </w:rPr>
  </w:style>
  <w:style w:type="paragraph" w:customStyle="1" w:styleId="msonormalbullet2gif">
    <w:name w:val="msonormalbullet2.gif"/>
    <w:basedOn w:val="Normal"/>
    <w:link w:val="a5"/>
    <w:rsid w:val="00AD48E2"/>
    <w:pPr>
      <w:spacing w:before="100" w:beforeAutospacing="1" w:after="100" w:afterAutospacing="1"/>
    </w:pPr>
    <w:rPr>
      <w:rFonts w:asciiTheme="minorHAnsi" w:eastAsiaTheme="minorHAnsi" w:hAnsiTheme="minorHAnsi" w:cstheme="minorBidi"/>
      <w:lang w:eastAsia="ru-RU"/>
    </w:rPr>
  </w:style>
  <w:style w:type="character" w:customStyle="1" w:styleId="nowrap1">
    <w:name w:val="nowrap1"/>
    <w:basedOn w:val="DefaultParagraphFont"/>
    <w:rsid w:val="00AD48E2"/>
  </w:style>
  <w:style w:type="paragraph" w:customStyle="1" w:styleId="summary">
    <w:name w:val="summary"/>
    <w:basedOn w:val="Normal"/>
    <w:rsid w:val="00AD48E2"/>
    <w:pPr>
      <w:pBdr>
        <w:top w:val="single" w:sz="6" w:space="4" w:color="888888"/>
        <w:left w:val="single" w:sz="6" w:space="15" w:color="888888"/>
        <w:bottom w:val="single" w:sz="6" w:space="4" w:color="888888"/>
        <w:right w:val="single" w:sz="6" w:space="15" w:color="888888"/>
      </w:pBdr>
      <w:shd w:val="clear" w:color="auto" w:fill="F8F8F8"/>
      <w:spacing w:before="75" w:after="75"/>
      <w:jc w:val="both"/>
    </w:pPr>
    <w:rPr>
      <w:rFonts w:ascii="Arial" w:hAnsi="Arial" w:cs="Arial"/>
      <w:b/>
      <w:bCs/>
      <w:sz w:val="28"/>
      <w:szCs w:val="28"/>
    </w:rPr>
  </w:style>
  <w:style w:type="character" w:customStyle="1" w:styleId="st1">
    <w:name w:val="st1"/>
    <w:basedOn w:val="DefaultParagraphFont"/>
    <w:rsid w:val="00AD48E2"/>
  </w:style>
  <w:style w:type="paragraph" w:customStyle="1" w:styleId="infotext">
    <w:name w:val="info_text"/>
    <w:basedOn w:val="Normal"/>
    <w:rsid w:val="00AD48E2"/>
    <w:pPr>
      <w:spacing w:after="75"/>
      <w:ind w:left="600"/>
      <w:jc w:val="both"/>
    </w:pPr>
    <w:rPr>
      <w:rFonts w:eastAsia="SimSun"/>
      <w:color w:val="183F6F"/>
      <w:sz w:val="17"/>
      <w:szCs w:val="17"/>
      <w:lang w:eastAsia="zh-CN"/>
    </w:rPr>
  </w:style>
  <w:style w:type="character" w:customStyle="1" w:styleId="name">
    <w:name w:val="name"/>
    <w:basedOn w:val="DefaultParagraphFont"/>
    <w:rsid w:val="00AD48E2"/>
  </w:style>
  <w:style w:type="character" w:customStyle="1" w:styleId="timestamp">
    <w:name w:val="timestamp"/>
    <w:basedOn w:val="DefaultParagraphFont"/>
    <w:rsid w:val="00AD48E2"/>
  </w:style>
  <w:style w:type="paragraph" w:customStyle="1" w:styleId="FIG">
    <w:name w:val="FIG"/>
    <w:basedOn w:val="Normal"/>
    <w:rsid w:val="00AD48E2"/>
    <w:pPr>
      <w:spacing w:before="240" w:after="120"/>
      <w:jc w:val="center"/>
    </w:pPr>
    <w:rPr>
      <w:rFonts w:ascii="Times New Roman Bold" w:hAnsi="Times New Roman Bold"/>
      <w:b/>
      <w:sz w:val="20"/>
      <w:szCs w:val="22"/>
    </w:rPr>
  </w:style>
  <w:style w:type="paragraph" w:customStyle="1" w:styleId="FIGIZTOCHNIK">
    <w:name w:val="FIG_IZTOCHNIK"/>
    <w:basedOn w:val="Normal"/>
    <w:rsid w:val="00AD48E2"/>
    <w:pPr>
      <w:spacing w:before="120"/>
      <w:ind w:firstLine="284"/>
      <w:jc w:val="both"/>
    </w:pPr>
    <w:rPr>
      <w:i/>
      <w:sz w:val="20"/>
      <w:szCs w:val="22"/>
      <w:lang w:val="en-US"/>
    </w:rPr>
  </w:style>
  <w:style w:type="paragraph" w:styleId="TOC1">
    <w:name w:val="toc 1"/>
    <w:basedOn w:val="Normal"/>
    <w:next w:val="Normal"/>
    <w:autoRedefine/>
    <w:uiPriority w:val="39"/>
    <w:unhideWhenUsed/>
    <w:rsid w:val="00AD48E2"/>
    <w:pPr>
      <w:spacing w:before="120" w:after="60"/>
    </w:pPr>
    <w:rPr>
      <w:rFonts w:ascii="Times New Roman Bold" w:hAnsi="Times New Roman Bold"/>
      <w:b/>
    </w:rPr>
  </w:style>
  <w:style w:type="paragraph" w:styleId="TOC2">
    <w:name w:val="toc 2"/>
    <w:basedOn w:val="Normal"/>
    <w:next w:val="Normal"/>
    <w:autoRedefine/>
    <w:uiPriority w:val="39"/>
    <w:unhideWhenUsed/>
    <w:rsid w:val="00AD48E2"/>
    <w:pPr>
      <w:tabs>
        <w:tab w:val="right" w:leader="dot" w:pos="9401"/>
      </w:tabs>
      <w:spacing w:after="100"/>
      <w:ind w:left="240"/>
    </w:pPr>
  </w:style>
  <w:style w:type="paragraph" w:customStyle="1" w:styleId="a6">
    <w:name w:val="таблица"/>
    <w:basedOn w:val="Normal"/>
    <w:link w:val="Char0"/>
    <w:qFormat/>
    <w:rsid w:val="00AD48E2"/>
    <w:pPr>
      <w:spacing w:line="360" w:lineRule="auto"/>
      <w:ind w:left="360"/>
    </w:pPr>
    <w:rPr>
      <w:rFonts w:eastAsia="Calibri"/>
      <w:i/>
      <w:lang w:val="x-none" w:eastAsia="x-none"/>
    </w:rPr>
  </w:style>
  <w:style w:type="character" w:customStyle="1" w:styleId="Char0">
    <w:name w:val="таблица Char"/>
    <w:link w:val="a6"/>
    <w:rsid w:val="00AD48E2"/>
    <w:rPr>
      <w:rFonts w:ascii="Times New Roman" w:eastAsia="Calibri" w:hAnsi="Times New Roman" w:cs="Times New Roman"/>
      <w:i/>
      <w:sz w:val="24"/>
      <w:szCs w:val="24"/>
      <w:lang w:val="x-none" w:eastAsia="x-none"/>
    </w:rPr>
  </w:style>
  <w:style w:type="paragraph" w:customStyle="1" w:styleId="a7">
    <w:name w:val="схема"/>
    <w:basedOn w:val="Normal"/>
    <w:link w:val="Char1"/>
    <w:qFormat/>
    <w:rsid w:val="00AD48E2"/>
    <w:pPr>
      <w:tabs>
        <w:tab w:val="left" w:pos="0"/>
      </w:tabs>
      <w:spacing w:line="360" w:lineRule="auto"/>
      <w:jc w:val="both"/>
    </w:pPr>
    <w:rPr>
      <w:rFonts w:eastAsia="Calibri"/>
      <w:i/>
      <w:lang w:val="x-none" w:eastAsia="x-none"/>
    </w:rPr>
  </w:style>
  <w:style w:type="character" w:customStyle="1" w:styleId="Char1">
    <w:name w:val="схема Char"/>
    <w:link w:val="a7"/>
    <w:rsid w:val="00AD48E2"/>
    <w:rPr>
      <w:rFonts w:ascii="Times New Roman" w:eastAsia="Calibri" w:hAnsi="Times New Roman" w:cs="Times New Roman"/>
      <w:i/>
      <w:sz w:val="24"/>
      <w:szCs w:val="24"/>
      <w:lang w:val="x-none" w:eastAsia="x-none"/>
    </w:rPr>
  </w:style>
  <w:style w:type="paragraph" w:customStyle="1" w:styleId="a8">
    <w:name w:val="приложение"/>
    <w:basedOn w:val="Normal"/>
    <w:link w:val="Char2"/>
    <w:qFormat/>
    <w:rsid w:val="00AD48E2"/>
    <w:pPr>
      <w:spacing w:line="360" w:lineRule="auto"/>
    </w:pPr>
    <w:rPr>
      <w:rFonts w:eastAsia="Calibri"/>
      <w:b/>
      <w:lang w:val="x-none" w:eastAsia="x-none"/>
    </w:rPr>
  </w:style>
  <w:style w:type="character" w:customStyle="1" w:styleId="Char2">
    <w:name w:val="приложение Char"/>
    <w:link w:val="a8"/>
    <w:rsid w:val="00AD48E2"/>
    <w:rPr>
      <w:rFonts w:ascii="Times New Roman" w:eastAsia="Calibri" w:hAnsi="Times New Roman" w:cs="Times New Roman"/>
      <w:b/>
      <w:sz w:val="24"/>
      <w:szCs w:val="24"/>
      <w:lang w:val="x-none" w:eastAsia="x-none"/>
    </w:rPr>
  </w:style>
  <w:style w:type="paragraph" w:customStyle="1" w:styleId="Pa29">
    <w:name w:val="Pa29"/>
    <w:basedOn w:val="Normal"/>
    <w:uiPriority w:val="99"/>
    <w:rsid w:val="00AD48E2"/>
    <w:pPr>
      <w:widowControl w:val="0"/>
      <w:autoSpaceDE w:val="0"/>
      <w:autoSpaceDN w:val="0"/>
      <w:adjustRightInd w:val="0"/>
      <w:spacing w:line="141" w:lineRule="atLeast"/>
    </w:pPr>
    <w:rPr>
      <w:rFonts w:ascii="Helvetica Condensed" w:cs="Helvetica Condensed"/>
      <w:lang w:val="en-US" w:eastAsia="en-US"/>
    </w:rPr>
  </w:style>
  <w:style w:type="paragraph" w:styleId="Bibliography">
    <w:name w:val="Bibliography"/>
    <w:basedOn w:val="Normal"/>
    <w:next w:val="Normal"/>
    <w:uiPriority w:val="37"/>
    <w:unhideWhenUsed/>
    <w:rsid w:val="00AD48E2"/>
    <w:rPr>
      <w:sz w:val="20"/>
      <w:szCs w:val="20"/>
      <w:lang w:val="en-US" w:eastAsia="en-US"/>
    </w:rPr>
  </w:style>
  <w:style w:type="character" w:customStyle="1" w:styleId="al-author-name">
    <w:name w:val="al-author-name"/>
    <w:rsid w:val="00AD48E2"/>
  </w:style>
  <w:style w:type="character" w:customStyle="1" w:styleId="wi-fullname">
    <w:name w:val="wi-fullname"/>
    <w:rsid w:val="00AD48E2"/>
  </w:style>
  <w:style w:type="table" w:customStyle="1" w:styleId="PlainTable21">
    <w:name w:val="Plain Table 21"/>
    <w:basedOn w:val="TableNormal"/>
    <w:uiPriority w:val="42"/>
    <w:rsid w:val="00AD48E2"/>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locked/>
    <w:rsid w:val="00AD48E2"/>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AD48E2"/>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AD48E2"/>
    <w:rPr>
      <w:rFonts w:ascii="Times New Roman" w:eastAsia="Calibri" w:hAnsi="Times New Roman" w:cs="Times New Roman"/>
      <w:sz w:val="20"/>
      <w:szCs w:val="20"/>
      <w:lang w:val="en-US"/>
    </w:rPr>
  </w:style>
  <w:style w:type="character" w:styleId="CommentReference">
    <w:name w:val="annotation reference"/>
    <w:uiPriority w:val="99"/>
    <w:semiHidden/>
    <w:unhideWhenUsed/>
    <w:rsid w:val="00AD48E2"/>
    <w:rPr>
      <w:sz w:val="16"/>
      <w:szCs w:val="16"/>
    </w:rPr>
  </w:style>
  <w:style w:type="paragraph" w:styleId="CommentText">
    <w:name w:val="annotation text"/>
    <w:basedOn w:val="Normal"/>
    <w:link w:val="CommentTextChar"/>
    <w:uiPriority w:val="99"/>
    <w:semiHidden/>
    <w:unhideWhenUsed/>
    <w:rsid w:val="00AD48E2"/>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semiHidden/>
    <w:rsid w:val="00AD48E2"/>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AD48E2"/>
    <w:rPr>
      <w:b/>
      <w:bCs/>
    </w:rPr>
  </w:style>
  <w:style w:type="character" w:customStyle="1" w:styleId="CommentSubjectChar">
    <w:name w:val="Comment Subject Char"/>
    <w:basedOn w:val="CommentTextChar"/>
    <w:link w:val="CommentSubject"/>
    <w:uiPriority w:val="99"/>
    <w:semiHidden/>
    <w:rsid w:val="00AD48E2"/>
    <w:rPr>
      <w:rFonts w:ascii="Calibri" w:eastAsia="Calibri" w:hAnsi="Calibri" w:cs="Times New Roman"/>
      <w:b/>
      <w:bCs/>
      <w:sz w:val="20"/>
      <w:szCs w:val="20"/>
      <w:lang w:val="x-none"/>
    </w:rPr>
  </w:style>
  <w:style w:type="paragraph" w:customStyle="1" w:styleId="NormalA">
    <w:name w:val="Normal_A"/>
    <w:basedOn w:val="Heading1"/>
    <w:rsid w:val="00AD48E2"/>
    <w:pPr>
      <w:spacing w:after="0" w:line="300" w:lineRule="exact"/>
      <w:ind w:firstLine="284"/>
      <w:jc w:val="both"/>
    </w:pPr>
    <w:rPr>
      <w:rFonts w:ascii="Times New Roman" w:eastAsia="Calibri" w:hAnsi="Times New Roman" w:cs="Times New Roman"/>
      <w:b w:val="0"/>
      <w:bCs w:val="0"/>
      <w:caps w:val="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r.bg/sofix-novini%20/362/" TargetMode="External"/><Relationship Id="rId13" Type="http://schemas.openxmlformats.org/officeDocument/2006/relationships/hyperlink" Target="http://download.bse-sofia.bg/others/Calendar_BSE_BG_20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pers.ssrn.com/sol3/pap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93/rfs/hhn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journal.ue-varna.bg/uploads/20150401104953_" TargetMode="External"/><Relationship Id="rId14" Type="http://schemas.openxmlformats.org/officeDocument/2006/relationships/hyperlink" Target="http://www.investor.bg/novini-i-analizi/339/a/kolko-sa-akcionerite-v-kompaniite-na-bfb-2392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wnload.bse-sofia.bg/others/Calendar_BSE_BG_2016.pdf" TargetMode="External"/><Relationship Id="rId2" Type="http://schemas.openxmlformats.org/officeDocument/2006/relationships/hyperlink" Target="http://download.bse-sofia.bg/others/Calendar_BSE_BG_2017.pdf" TargetMode="External"/><Relationship Id="rId1" Type="http://schemas.openxmlformats.org/officeDocument/2006/relationships/hyperlink" Target="http://journal.ue-va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RToncheva</dc:creator>
  <cp:lastModifiedBy>RToncheva</cp:lastModifiedBy>
  <cp:revision>1</cp:revision>
  <dcterms:created xsi:type="dcterms:W3CDTF">2018-11-23T15:26:00Z</dcterms:created>
  <dcterms:modified xsi:type="dcterms:W3CDTF">2018-11-23T15:26:00Z</dcterms:modified>
</cp:coreProperties>
</file>